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q-AL"/>
        </w:rPr>
        <w:id w:val="363952880"/>
        <w:docPartObj>
          <w:docPartGallery w:val="Cover Pages"/>
          <w:docPartUnique/>
        </w:docPartObj>
      </w:sdtPr>
      <w:sdtContent>
        <w:p w14:paraId="2069F0DE" w14:textId="77777777" w:rsidR="00D240D3" w:rsidRPr="00D240D3" w:rsidRDefault="00D240D3" w:rsidP="00D240D3">
          <w:pPr>
            <w:spacing w:after="160" w:line="278" w:lineRule="auto"/>
            <w:rPr>
              <w:lang w:val="sq-AL"/>
            </w:rPr>
          </w:pPr>
        </w:p>
        <w:p w14:paraId="1B4A49C5" w14:textId="77777777" w:rsidR="00D240D3" w:rsidRPr="00D240D3" w:rsidRDefault="00000000" w:rsidP="00D240D3">
          <w:pPr>
            <w:spacing w:line="278" w:lineRule="auto"/>
            <w:rPr>
              <w:lang w:val="sq-AL"/>
            </w:rPr>
          </w:pPr>
        </w:p>
      </w:sdtContent>
    </w:sdt>
    <w:p w14:paraId="0BFCCB3C" w14:textId="77777777" w:rsidR="00D240D3" w:rsidRPr="00D240D3" w:rsidRDefault="00D240D3" w:rsidP="00D240D3">
      <w:pPr>
        <w:spacing w:after="160" w:line="278" w:lineRule="auto"/>
        <w:rPr>
          <w:lang w:val="sq-AL"/>
        </w:rPr>
      </w:pPr>
    </w:p>
    <w:p w14:paraId="7C0D66E7" w14:textId="77777777" w:rsidR="00D240D3" w:rsidRPr="00D240D3" w:rsidRDefault="00D240D3" w:rsidP="00D240D3">
      <w:pPr>
        <w:spacing w:after="160" w:line="278" w:lineRule="auto"/>
        <w:rPr>
          <w:lang w:val="sq-AL"/>
        </w:rPr>
      </w:pPr>
    </w:p>
    <w:p w14:paraId="2931AF45" w14:textId="77777777" w:rsidR="00D240D3" w:rsidRPr="00D240D3" w:rsidRDefault="00D240D3" w:rsidP="00D240D3">
      <w:pPr>
        <w:spacing w:after="160" w:line="278" w:lineRule="auto"/>
        <w:rPr>
          <w:lang w:val="sq-AL"/>
        </w:rPr>
      </w:pPr>
    </w:p>
    <w:p w14:paraId="721DAD93" w14:textId="77777777" w:rsidR="00D240D3" w:rsidRPr="00D240D3" w:rsidRDefault="00D240D3" w:rsidP="00D240D3">
      <w:pPr>
        <w:spacing w:after="160" w:line="278" w:lineRule="auto"/>
        <w:rPr>
          <w:lang w:val="sq-AL"/>
        </w:rPr>
      </w:pPr>
    </w:p>
    <w:p w14:paraId="7798D37D" w14:textId="77777777" w:rsidR="00D240D3" w:rsidRPr="00D240D3" w:rsidRDefault="00D240D3" w:rsidP="00D240D3">
      <w:pPr>
        <w:spacing w:after="160" w:line="278" w:lineRule="auto"/>
        <w:rPr>
          <w:lang w:val="sq-AL"/>
        </w:rPr>
      </w:pPr>
    </w:p>
    <w:p w14:paraId="3CF6629D" w14:textId="77777777" w:rsidR="00D240D3" w:rsidRPr="00BC3886" w:rsidRDefault="00D240D3" w:rsidP="00D240D3">
      <w:pPr>
        <w:spacing w:after="160" w:line="278" w:lineRule="auto"/>
        <w:rPr>
          <w:sz w:val="28"/>
          <w:szCs w:val="28"/>
          <w:lang w:val="sq-AL"/>
        </w:rPr>
      </w:pPr>
    </w:p>
    <w:p w14:paraId="5331F2C8" w14:textId="77777777" w:rsidR="00D240D3" w:rsidRPr="00BC3886" w:rsidRDefault="00D240D3" w:rsidP="00D240D3">
      <w:pPr>
        <w:spacing w:after="160" w:line="278" w:lineRule="auto"/>
        <w:jc w:val="center"/>
        <w:rPr>
          <w:b/>
          <w:bCs/>
          <w:sz w:val="28"/>
          <w:szCs w:val="28"/>
          <w:lang w:val="sq-AL"/>
        </w:rPr>
      </w:pPr>
      <w:r w:rsidRPr="00BC3886">
        <w:rPr>
          <w:b/>
          <w:bCs/>
          <w:sz w:val="28"/>
          <w:szCs w:val="28"/>
          <w:lang w:val="sq-AL"/>
        </w:rPr>
        <w:t>Projekt:</w:t>
      </w:r>
    </w:p>
    <w:p w14:paraId="3E3BC304" w14:textId="77777777" w:rsidR="00D240D3" w:rsidRPr="00BC3886" w:rsidRDefault="00D240D3" w:rsidP="00D240D3">
      <w:pPr>
        <w:spacing w:after="160" w:line="278" w:lineRule="auto"/>
        <w:jc w:val="center"/>
        <w:rPr>
          <w:b/>
          <w:bCs/>
          <w:sz w:val="28"/>
          <w:szCs w:val="28"/>
          <w:lang w:val="sq-AL"/>
        </w:rPr>
      </w:pPr>
      <w:r w:rsidRPr="00BC3886">
        <w:rPr>
          <w:b/>
          <w:bCs/>
          <w:sz w:val="28"/>
          <w:szCs w:val="28"/>
          <w:lang w:val="sq-AL"/>
        </w:rPr>
        <w:t>“Komunat si shtytës të zhvillimit të qëndrueshëm”</w:t>
      </w:r>
    </w:p>
    <w:p w14:paraId="3ED7EE29" w14:textId="159DD499" w:rsidR="00D240D3" w:rsidRPr="00BC3886" w:rsidRDefault="00D240D3" w:rsidP="00D240D3">
      <w:pPr>
        <w:spacing w:after="160" w:line="278" w:lineRule="auto"/>
        <w:jc w:val="center"/>
        <w:rPr>
          <w:sz w:val="28"/>
          <w:szCs w:val="28"/>
          <w:lang w:val="sq-AL"/>
        </w:rPr>
      </w:pPr>
      <w:r w:rsidRPr="00BC3886">
        <w:rPr>
          <w:sz w:val="28"/>
          <w:szCs w:val="28"/>
          <w:lang w:val="sq-AL"/>
        </w:rPr>
        <w:t xml:space="preserve">Thirrje e </w:t>
      </w:r>
      <w:r w:rsidRPr="00812984">
        <w:rPr>
          <w:sz w:val="28"/>
          <w:szCs w:val="28"/>
          <w:lang w:val="sq-AL"/>
        </w:rPr>
        <w:t>Tretë</w:t>
      </w:r>
      <w:r w:rsidRPr="00BC3886">
        <w:rPr>
          <w:sz w:val="28"/>
          <w:szCs w:val="28"/>
          <w:lang w:val="sq-AL"/>
        </w:rPr>
        <w:t xml:space="preserve"> për projekte për bashkëpunim ndërkomunal</w:t>
      </w:r>
    </w:p>
    <w:p w14:paraId="21999E42" w14:textId="77777777" w:rsidR="00D240D3" w:rsidRPr="00BC3886" w:rsidRDefault="00D240D3" w:rsidP="00D240D3">
      <w:pPr>
        <w:spacing w:after="160" w:line="278" w:lineRule="auto"/>
        <w:jc w:val="center"/>
        <w:rPr>
          <w:b/>
          <w:sz w:val="28"/>
          <w:szCs w:val="28"/>
          <w:u w:val="single"/>
          <w:lang w:val="sq-AL"/>
        </w:rPr>
      </w:pPr>
      <w:r w:rsidRPr="00BC3886">
        <w:rPr>
          <w:b/>
          <w:sz w:val="28"/>
          <w:szCs w:val="28"/>
          <w:u w:val="single"/>
          <w:lang w:val="sq-AL"/>
        </w:rPr>
        <w:t>Udhëzimet operative për aplikim për</w:t>
      </w:r>
      <w:r w:rsidRPr="00BC3886">
        <w:rPr>
          <w:sz w:val="28"/>
          <w:szCs w:val="28"/>
          <w:u w:val="single"/>
          <w:lang w:val="sq-AL"/>
        </w:rPr>
        <w:t xml:space="preserve"> </w:t>
      </w:r>
      <w:r w:rsidRPr="00BC3886">
        <w:rPr>
          <w:b/>
          <w:sz w:val="28"/>
          <w:szCs w:val="28"/>
          <w:u w:val="single"/>
          <w:lang w:val="sq-AL"/>
        </w:rPr>
        <w:t>propozuesit e projekteve</w:t>
      </w:r>
    </w:p>
    <w:p w14:paraId="1D590CAA" w14:textId="77777777" w:rsidR="00D240D3" w:rsidRPr="00BC3886" w:rsidRDefault="00D240D3" w:rsidP="00D240D3">
      <w:pPr>
        <w:spacing w:after="160" w:line="278" w:lineRule="auto"/>
        <w:rPr>
          <w:sz w:val="28"/>
          <w:szCs w:val="28"/>
          <w:lang w:val="sq-AL"/>
        </w:rPr>
      </w:pPr>
    </w:p>
    <w:p w14:paraId="7C47A28E" w14:textId="589991DD" w:rsidR="00D240D3" w:rsidRPr="00BC3886" w:rsidRDefault="00D240D3" w:rsidP="00D240D3">
      <w:pPr>
        <w:spacing w:after="160" w:line="278" w:lineRule="auto"/>
        <w:jc w:val="center"/>
        <w:rPr>
          <w:b/>
          <w:bCs/>
          <w:sz w:val="28"/>
          <w:szCs w:val="28"/>
          <w:lang w:val="sq-AL"/>
        </w:rPr>
      </w:pPr>
      <w:r w:rsidRPr="00BC3886">
        <w:rPr>
          <w:b/>
          <w:bCs/>
          <w:sz w:val="28"/>
          <w:szCs w:val="28"/>
          <w:lang w:val="sq-AL"/>
        </w:rPr>
        <w:t>05 2026</w:t>
      </w:r>
    </w:p>
    <w:p w14:paraId="633428C1" w14:textId="77777777" w:rsidR="00D240D3" w:rsidRPr="00D240D3" w:rsidRDefault="00D240D3" w:rsidP="00D240D3">
      <w:pPr>
        <w:spacing w:after="160" w:line="278" w:lineRule="auto"/>
        <w:rPr>
          <w:lang w:val="sq-AL"/>
        </w:rPr>
      </w:pPr>
    </w:p>
    <w:p w14:paraId="630C6807" w14:textId="77777777" w:rsidR="00D240D3" w:rsidRPr="00D240D3" w:rsidRDefault="00D240D3" w:rsidP="00D240D3">
      <w:pPr>
        <w:spacing w:after="160" w:line="278" w:lineRule="auto"/>
        <w:rPr>
          <w:lang w:val="sq-AL"/>
        </w:rPr>
      </w:pPr>
    </w:p>
    <w:p w14:paraId="6DFFAE4E" w14:textId="77777777" w:rsidR="00D240D3" w:rsidRPr="00D240D3" w:rsidRDefault="00D240D3" w:rsidP="00D240D3">
      <w:pPr>
        <w:spacing w:after="160" w:line="278" w:lineRule="auto"/>
        <w:rPr>
          <w:lang w:val="sq-AL"/>
        </w:rPr>
      </w:pPr>
    </w:p>
    <w:p w14:paraId="04CED768" w14:textId="77777777" w:rsidR="00D240D3" w:rsidRPr="00D240D3" w:rsidRDefault="00D240D3" w:rsidP="00D240D3">
      <w:pPr>
        <w:spacing w:after="160" w:line="278" w:lineRule="auto"/>
        <w:rPr>
          <w:lang w:val="sq-AL"/>
        </w:rPr>
      </w:pPr>
    </w:p>
    <w:p w14:paraId="0E2A6802" w14:textId="77777777" w:rsidR="00D240D3" w:rsidRPr="00D240D3" w:rsidRDefault="00D240D3" w:rsidP="00D240D3">
      <w:pPr>
        <w:spacing w:after="160" w:line="278" w:lineRule="auto"/>
        <w:rPr>
          <w:lang w:val="sq-AL"/>
        </w:rPr>
      </w:pPr>
    </w:p>
    <w:p w14:paraId="0BE4C330" w14:textId="77777777" w:rsidR="00D240D3" w:rsidRPr="00D240D3" w:rsidRDefault="00D240D3" w:rsidP="00D240D3">
      <w:pPr>
        <w:spacing w:after="160" w:line="278" w:lineRule="auto"/>
        <w:rPr>
          <w:lang w:val="sq-AL"/>
        </w:rPr>
      </w:pPr>
    </w:p>
    <w:p w14:paraId="6220AD3A" w14:textId="77777777" w:rsidR="00D240D3" w:rsidRPr="00D240D3" w:rsidRDefault="00D240D3" w:rsidP="00D240D3">
      <w:pPr>
        <w:spacing w:after="160" w:line="278" w:lineRule="auto"/>
        <w:rPr>
          <w:b/>
          <w:lang w:val="sq-AL"/>
        </w:rPr>
      </w:pPr>
    </w:p>
    <w:p w14:paraId="1AA26B08" w14:textId="77777777" w:rsidR="00D240D3" w:rsidRPr="00D240D3" w:rsidRDefault="00D240D3" w:rsidP="00D240D3">
      <w:pPr>
        <w:spacing w:after="160" w:line="278" w:lineRule="auto"/>
        <w:rPr>
          <w:b/>
          <w:lang w:val="sq-AL"/>
        </w:rPr>
      </w:pPr>
    </w:p>
    <w:p w14:paraId="63F0C707" w14:textId="77777777" w:rsidR="00D240D3" w:rsidRPr="00D240D3" w:rsidRDefault="00D240D3" w:rsidP="00D240D3">
      <w:pPr>
        <w:spacing w:after="160" w:line="278" w:lineRule="auto"/>
        <w:rPr>
          <w:lang w:val="sq-AL"/>
        </w:rPr>
      </w:pPr>
    </w:p>
    <w:p w14:paraId="27104F6E" w14:textId="77777777" w:rsidR="00D240D3" w:rsidRPr="00D240D3" w:rsidRDefault="00D240D3" w:rsidP="00D240D3">
      <w:pPr>
        <w:spacing w:after="160" w:line="278" w:lineRule="auto"/>
        <w:rPr>
          <w:lang w:val="sq-AL"/>
        </w:rPr>
      </w:pPr>
    </w:p>
    <w:p w14:paraId="37C3FA6A" w14:textId="77777777" w:rsidR="00D240D3" w:rsidRPr="00D240D3" w:rsidRDefault="00D240D3" w:rsidP="00D240D3">
      <w:pPr>
        <w:spacing w:after="160" w:line="278" w:lineRule="auto"/>
        <w:rPr>
          <w:lang w:val="sq-AL"/>
        </w:rPr>
      </w:pPr>
    </w:p>
    <w:p w14:paraId="00AB8C28" w14:textId="77777777" w:rsidR="00E81937" w:rsidRDefault="00E81937" w:rsidP="00D240D3">
      <w:pPr>
        <w:spacing w:after="160" w:line="278" w:lineRule="auto"/>
        <w:rPr>
          <w:lang w:val="mk-MK"/>
        </w:rPr>
      </w:pPr>
    </w:p>
    <w:p w14:paraId="59592880" w14:textId="77777777" w:rsidR="00E81937" w:rsidRDefault="00E81937" w:rsidP="00D240D3">
      <w:pPr>
        <w:spacing w:after="160" w:line="278" w:lineRule="auto"/>
        <w:rPr>
          <w:lang w:val="mk-MK"/>
        </w:rPr>
      </w:pPr>
    </w:p>
    <w:p w14:paraId="1E38E2A5" w14:textId="502C94E6" w:rsidR="00D240D3" w:rsidRPr="00BC3886" w:rsidRDefault="00D240D3" w:rsidP="00D240D3">
      <w:pPr>
        <w:spacing w:after="160" w:line="278" w:lineRule="auto"/>
        <w:rPr>
          <w:b/>
          <w:bCs/>
          <w:lang w:val="sq-AL"/>
        </w:rPr>
      </w:pPr>
      <w:r w:rsidRPr="00BC3886">
        <w:rPr>
          <w:b/>
          <w:bCs/>
          <w:lang w:val="sq-AL"/>
        </w:rPr>
        <w:t>Përmbajtja</w:t>
      </w:r>
    </w:p>
    <w:sdt>
      <w:sdtPr>
        <w:rPr>
          <w:lang w:val="sq-AL"/>
        </w:rPr>
        <w:id w:val="2085181510"/>
        <w:docPartObj>
          <w:docPartGallery w:val="Table of Contents"/>
          <w:docPartUnique/>
        </w:docPartObj>
      </w:sdtPr>
      <w:sdtContent>
        <w:p w14:paraId="075BA6D1" w14:textId="77777777" w:rsidR="00D240D3" w:rsidRPr="00D240D3" w:rsidRDefault="00D240D3" w:rsidP="00D240D3">
          <w:pPr>
            <w:spacing w:before="0" w:after="160" w:line="278" w:lineRule="auto"/>
            <w:rPr>
              <w:lang w:val="sq-AL"/>
            </w:rPr>
          </w:pPr>
        </w:p>
        <w:p w14:paraId="24033C44" w14:textId="41F6A144" w:rsidR="00BC3886" w:rsidRDefault="00D240D3" w:rsidP="00BC3886">
          <w:pPr>
            <w:pStyle w:val="TOC2"/>
            <w:tabs>
              <w:tab w:val="right" w:leader="dot" w:pos="9350"/>
            </w:tabs>
            <w:spacing w:before="0" w:after="0"/>
            <w:rPr>
              <w:noProof/>
            </w:rPr>
          </w:pPr>
          <w:r w:rsidRPr="00D240D3">
            <w:rPr>
              <w:lang w:val="sq-AL"/>
            </w:rPr>
            <w:fldChar w:fldCharType="begin"/>
          </w:r>
          <w:r w:rsidRPr="00D240D3">
            <w:rPr>
              <w:lang w:val="sq-AL"/>
            </w:rPr>
            <w:instrText xml:space="preserve"> TOC \o "1-3" \h \z \u </w:instrText>
          </w:r>
          <w:r w:rsidRPr="00D240D3">
            <w:rPr>
              <w:lang w:val="sq-AL"/>
            </w:rPr>
            <w:fldChar w:fldCharType="separate"/>
          </w:r>
          <w:hyperlink w:anchor="_Toc228786292" w:history="1">
            <w:r w:rsidR="00BC3886" w:rsidRPr="00C80B6C">
              <w:rPr>
                <w:rStyle w:val="Hyperlink"/>
                <w:noProof/>
                <w:lang w:val="sq-AL"/>
              </w:rPr>
              <w:t>1.  Cili është qëllimi kryesor i thirrjes për projekte?</w:t>
            </w:r>
            <w:r w:rsidR="00BC3886">
              <w:rPr>
                <w:noProof/>
                <w:webHidden/>
              </w:rPr>
              <w:tab/>
            </w:r>
            <w:r w:rsidR="00BC3886">
              <w:rPr>
                <w:noProof/>
                <w:webHidden/>
              </w:rPr>
              <w:fldChar w:fldCharType="begin"/>
            </w:r>
            <w:r w:rsidR="00BC3886">
              <w:rPr>
                <w:noProof/>
                <w:webHidden/>
              </w:rPr>
              <w:instrText xml:space="preserve"> PAGEREF _Toc228786292 \h </w:instrText>
            </w:r>
            <w:r w:rsidR="00BC3886">
              <w:rPr>
                <w:noProof/>
                <w:webHidden/>
              </w:rPr>
            </w:r>
            <w:r w:rsidR="00BC3886">
              <w:rPr>
                <w:noProof/>
                <w:webHidden/>
              </w:rPr>
              <w:fldChar w:fldCharType="separate"/>
            </w:r>
            <w:r w:rsidR="00BC3886">
              <w:rPr>
                <w:noProof/>
                <w:webHidden/>
              </w:rPr>
              <w:t>4</w:t>
            </w:r>
            <w:r w:rsidR="00BC3886">
              <w:rPr>
                <w:noProof/>
                <w:webHidden/>
              </w:rPr>
              <w:fldChar w:fldCharType="end"/>
            </w:r>
          </w:hyperlink>
        </w:p>
        <w:p w14:paraId="2B2BB2A7" w14:textId="5AC5E4F4" w:rsidR="00BC3886" w:rsidRDefault="00BC3886" w:rsidP="00BC3886">
          <w:pPr>
            <w:pStyle w:val="TOC2"/>
            <w:tabs>
              <w:tab w:val="right" w:leader="dot" w:pos="9350"/>
            </w:tabs>
            <w:spacing w:before="0" w:after="0"/>
            <w:rPr>
              <w:noProof/>
            </w:rPr>
          </w:pPr>
          <w:hyperlink w:anchor="_Toc228786293" w:history="1">
            <w:r w:rsidRPr="00C80B6C">
              <w:rPr>
                <w:rStyle w:val="Hyperlink"/>
                <w:noProof/>
                <w:lang w:val="sq-AL"/>
              </w:rPr>
              <w:t>2. Cilat janë fushat prioritare dhe format e pranueshme të bashkëpunimit ndërkomunal në kuadër të kësaj thirrjeje?</w:t>
            </w:r>
            <w:r>
              <w:rPr>
                <w:noProof/>
                <w:webHidden/>
              </w:rPr>
              <w:tab/>
            </w:r>
            <w:r>
              <w:rPr>
                <w:noProof/>
                <w:webHidden/>
              </w:rPr>
              <w:fldChar w:fldCharType="begin"/>
            </w:r>
            <w:r>
              <w:rPr>
                <w:noProof/>
                <w:webHidden/>
              </w:rPr>
              <w:instrText xml:space="preserve"> PAGEREF _Toc228786293 \h </w:instrText>
            </w:r>
            <w:r>
              <w:rPr>
                <w:noProof/>
                <w:webHidden/>
              </w:rPr>
            </w:r>
            <w:r>
              <w:rPr>
                <w:noProof/>
                <w:webHidden/>
              </w:rPr>
              <w:fldChar w:fldCharType="separate"/>
            </w:r>
            <w:r>
              <w:rPr>
                <w:noProof/>
                <w:webHidden/>
              </w:rPr>
              <w:t>4</w:t>
            </w:r>
            <w:r>
              <w:rPr>
                <w:noProof/>
                <w:webHidden/>
              </w:rPr>
              <w:fldChar w:fldCharType="end"/>
            </w:r>
          </w:hyperlink>
        </w:p>
        <w:p w14:paraId="4671821D" w14:textId="4EF28A4B" w:rsidR="00BC3886" w:rsidRDefault="00BC3886" w:rsidP="00BC3886">
          <w:pPr>
            <w:pStyle w:val="TOC2"/>
            <w:tabs>
              <w:tab w:val="right" w:leader="dot" w:pos="9350"/>
            </w:tabs>
            <w:spacing w:before="0" w:after="0"/>
            <w:rPr>
              <w:noProof/>
            </w:rPr>
          </w:pPr>
          <w:hyperlink w:anchor="_Toc228786294" w:history="1">
            <w:r w:rsidRPr="00C80B6C">
              <w:rPr>
                <w:rStyle w:val="Hyperlink"/>
                <w:noProof/>
                <w:lang w:val="sq-AL"/>
              </w:rPr>
              <w:t>3. Informata për parashtruesit e aplikimit</w:t>
            </w:r>
            <w:r>
              <w:rPr>
                <w:noProof/>
                <w:webHidden/>
              </w:rPr>
              <w:tab/>
            </w:r>
            <w:r>
              <w:rPr>
                <w:noProof/>
                <w:webHidden/>
              </w:rPr>
              <w:fldChar w:fldCharType="begin"/>
            </w:r>
            <w:r>
              <w:rPr>
                <w:noProof/>
                <w:webHidden/>
              </w:rPr>
              <w:instrText xml:space="preserve"> PAGEREF _Toc228786294 \h </w:instrText>
            </w:r>
            <w:r>
              <w:rPr>
                <w:noProof/>
                <w:webHidden/>
              </w:rPr>
            </w:r>
            <w:r>
              <w:rPr>
                <w:noProof/>
                <w:webHidden/>
              </w:rPr>
              <w:fldChar w:fldCharType="separate"/>
            </w:r>
            <w:r>
              <w:rPr>
                <w:noProof/>
                <w:webHidden/>
              </w:rPr>
              <w:t>5</w:t>
            </w:r>
            <w:r>
              <w:rPr>
                <w:noProof/>
                <w:webHidden/>
              </w:rPr>
              <w:fldChar w:fldCharType="end"/>
            </w:r>
          </w:hyperlink>
        </w:p>
        <w:p w14:paraId="0B997D63" w14:textId="06B367E1" w:rsidR="00BC3886" w:rsidRDefault="00BC3886" w:rsidP="00BC3886">
          <w:pPr>
            <w:pStyle w:val="TOC2"/>
            <w:tabs>
              <w:tab w:val="right" w:leader="dot" w:pos="9350"/>
            </w:tabs>
            <w:spacing w:before="0" w:after="0"/>
            <w:rPr>
              <w:noProof/>
            </w:rPr>
          </w:pPr>
          <w:hyperlink w:anchor="_Toc228786295" w:history="1">
            <w:r w:rsidRPr="00C80B6C">
              <w:rPr>
                <w:rStyle w:val="Hyperlink"/>
                <w:noProof/>
                <w:lang w:val="sq-AL"/>
              </w:rPr>
              <w:t>3.1 Çështje të tjera në lidhje me pranueshmërinë e aplikuesve</w:t>
            </w:r>
            <w:r>
              <w:rPr>
                <w:noProof/>
                <w:webHidden/>
              </w:rPr>
              <w:tab/>
            </w:r>
            <w:r>
              <w:rPr>
                <w:noProof/>
                <w:webHidden/>
              </w:rPr>
              <w:fldChar w:fldCharType="begin"/>
            </w:r>
            <w:r>
              <w:rPr>
                <w:noProof/>
                <w:webHidden/>
              </w:rPr>
              <w:instrText xml:space="preserve"> PAGEREF _Toc228786295 \h </w:instrText>
            </w:r>
            <w:r>
              <w:rPr>
                <w:noProof/>
                <w:webHidden/>
              </w:rPr>
            </w:r>
            <w:r>
              <w:rPr>
                <w:noProof/>
                <w:webHidden/>
              </w:rPr>
              <w:fldChar w:fldCharType="separate"/>
            </w:r>
            <w:r>
              <w:rPr>
                <w:noProof/>
                <w:webHidden/>
              </w:rPr>
              <w:t>5</w:t>
            </w:r>
            <w:r>
              <w:rPr>
                <w:noProof/>
                <w:webHidden/>
              </w:rPr>
              <w:fldChar w:fldCharType="end"/>
            </w:r>
          </w:hyperlink>
        </w:p>
        <w:p w14:paraId="1A6BF331" w14:textId="6B7627C6" w:rsidR="00BC3886" w:rsidRDefault="00BC3886" w:rsidP="00BC3886">
          <w:pPr>
            <w:pStyle w:val="TOC2"/>
            <w:tabs>
              <w:tab w:val="right" w:leader="dot" w:pos="9350"/>
            </w:tabs>
            <w:spacing w:before="0" w:after="0"/>
            <w:rPr>
              <w:noProof/>
            </w:rPr>
          </w:pPr>
          <w:hyperlink w:anchor="_Toc228786296" w:history="1">
            <w:r w:rsidRPr="00C80B6C">
              <w:rPr>
                <w:rStyle w:val="Hyperlink"/>
                <w:noProof/>
                <w:lang w:val="sq-AL"/>
              </w:rPr>
              <w:t>3.2. Kush nuk mund të parashtrojë kërkesë</w:t>
            </w:r>
            <w:r>
              <w:rPr>
                <w:noProof/>
                <w:webHidden/>
              </w:rPr>
              <w:tab/>
            </w:r>
            <w:r>
              <w:rPr>
                <w:noProof/>
                <w:webHidden/>
              </w:rPr>
              <w:fldChar w:fldCharType="begin"/>
            </w:r>
            <w:r>
              <w:rPr>
                <w:noProof/>
                <w:webHidden/>
              </w:rPr>
              <w:instrText xml:space="preserve"> PAGEREF _Toc228786296 \h </w:instrText>
            </w:r>
            <w:r>
              <w:rPr>
                <w:noProof/>
                <w:webHidden/>
              </w:rPr>
            </w:r>
            <w:r>
              <w:rPr>
                <w:noProof/>
                <w:webHidden/>
              </w:rPr>
              <w:fldChar w:fldCharType="separate"/>
            </w:r>
            <w:r>
              <w:rPr>
                <w:noProof/>
                <w:webHidden/>
              </w:rPr>
              <w:t>5</w:t>
            </w:r>
            <w:r>
              <w:rPr>
                <w:noProof/>
                <w:webHidden/>
              </w:rPr>
              <w:fldChar w:fldCharType="end"/>
            </w:r>
          </w:hyperlink>
        </w:p>
        <w:p w14:paraId="3A5D696E" w14:textId="00DE19CB" w:rsidR="00BC3886" w:rsidRDefault="00BC3886" w:rsidP="00BC3886">
          <w:pPr>
            <w:pStyle w:val="TOC2"/>
            <w:tabs>
              <w:tab w:val="right" w:leader="dot" w:pos="9350"/>
            </w:tabs>
            <w:spacing w:before="0" w:after="0"/>
            <w:rPr>
              <w:noProof/>
            </w:rPr>
          </w:pPr>
          <w:hyperlink w:anchor="_Toc228786297" w:history="1">
            <w:r w:rsidRPr="00C80B6C">
              <w:rPr>
                <w:rStyle w:val="Hyperlink"/>
                <w:noProof/>
                <w:lang w:val="sq-AL"/>
              </w:rPr>
              <w:t>3.3. Pyetje të tjera</w:t>
            </w:r>
            <w:r>
              <w:rPr>
                <w:noProof/>
                <w:webHidden/>
              </w:rPr>
              <w:tab/>
            </w:r>
            <w:r>
              <w:rPr>
                <w:noProof/>
                <w:webHidden/>
              </w:rPr>
              <w:fldChar w:fldCharType="begin"/>
            </w:r>
            <w:r>
              <w:rPr>
                <w:noProof/>
                <w:webHidden/>
              </w:rPr>
              <w:instrText xml:space="preserve"> PAGEREF _Toc228786297 \h </w:instrText>
            </w:r>
            <w:r>
              <w:rPr>
                <w:noProof/>
                <w:webHidden/>
              </w:rPr>
            </w:r>
            <w:r>
              <w:rPr>
                <w:noProof/>
                <w:webHidden/>
              </w:rPr>
              <w:fldChar w:fldCharType="separate"/>
            </w:r>
            <w:r>
              <w:rPr>
                <w:noProof/>
                <w:webHidden/>
              </w:rPr>
              <w:t>5</w:t>
            </w:r>
            <w:r>
              <w:rPr>
                <w:noProof/>
                <w:webHidden/>
              </w:rPr>
              <w:fldChar w:fldCharType="end"/>
            </w:r>
          </w:hyperlink>
        </w:p>
        <w:p w14:paraId="2CA27781" w14:textId="303E48B7" w:rsidR="00BC3886" w:rsidRDefault="00BC3886" w:rsidP="00BC3886">
          <w:pPr>
            <w:pStyle w:val="TOC2"/>
            <w:tabs>
              <w:tab w:val="right" w:leader="dot" w:pos="9350"/>
            </w:tabs>
            <w:spacing w:before="0" w:after="0"/>
            <w:rPr>
              <w:noProof/>
            </w:rPr>
          </w:pPr>
          <w:hyperlink w:anchor="_Toc228786298" w:history="1">
            <w:r w:rsidRPr="00C80B6C">
              <w:rPr>
                <w:rStyle w:val="Hyperlink"/>
                <w:noProof/>
                <w:lang w:val="sq-AL"/>
              </w:rPr>
              <w:t>4. Kohëzgjatja e projektit</w:t>
            </w:r>
            <w:r>
              <w:rPr>
                <w:noProof/>
                <w:webHidden/>
              </w:rPr>
              <w:tab/>
            </w:r>
            <w:r>
              <w:rPr>
                <w:noProof/>
                <w:webHidden/>
              </w:rPr>
              <w:fldChar w:fldCharType="begin"/>
            </w:r>
            <w:r>
              <w:rPr>
                <w:noProof/>
                <w:webHidden/>
              </w:rPr>
              <w:instrText xml:space="preserve"> PAGEREF _Toc228786298 \h </w:instrText>
            </w:r>
            <w:r>
              <w:rPr>
                <w:noProof/>
                <w:webHidden/>
              </w:rPr>
            </w:r>
            <w:r>
              <w:rPr>
                <w:noProof/>
                <w:webHidden/>
              </w:rPr>
              <w:fldChar w:fldCharType="separate"/>
            </w:r>
            <w:r>
              <w:rPr>
                <w:noProof/>
                <w:webHidden/>
              </w:rPr>
              <w:t>6</w:t>
            </w:r>
            <w:r>
              <w:rPr>
                <w:noProof/>
                <w:webHidden/>
              </w:rPr>
              <w:fldChar w:fldCharType="end"/>
            </w:r>
          </w:hyperlink>
        </w:p>
        <w:p w14:paraId="6FCF61D5" w14:textId="050AEA09" w:rsidR="00BC3886" w:rsidRDefault="00BC3886" w:rsidP="00BC3886">
          <w:pPr>
            <w:pStyle w:val="TOC2"/>
            <w:tabs>
              <w:tab w:val="right" w:leader="dot" w:pos="9350"/>
            </w:tabs>
            <w:spacing w:before="0" w:after="0"/>
            <w:rPr>
              <w:noProof/>
            </w:rPr>
          </w:pPr>
          <w:hyperlink w:anchor="_Toc228786299" w:history="1">
            <w:r w:rsidRPr="00C80B6C">
              <w:rPr>
                <w:rStyle w:val="Hyperlink"/>
                <w:noProof/>
                <w:lang w:val="sq-AL"/>
              </w:rPr>
              <w:t>5. Mjetet e disponueshme në kuadër të thirrjes</w:t>
            </w:r>
            <w:r>
              <w:rPr>
                <w:noProof/>
                <w:webHidden/>
              </w:rPr>
              <w:tab/>
            </w:r>
            <w:r>
              <w:rPr>
                <w:noProof/>
                <w:webHidden/>
              </w:rPr>
              <w:fldChar w:fldCharType="begin"/>
            </w:r>
            <w:r>
              <w:rPr>
                <w:noProof/>
                <w:webHidden/>
              </w:rPr>
              <w:instrText xml:space="preserve"> PAGEREF _Toc228786299 \h </w:instrText>
            </w:r>
            <w:r>
              <w:rPr>
                <w:noProof/>
                <w:webHidden/>
              </w:rPr>
            </w:r>
            <w:r>
              <w:rPr>
                <w:noProof/>
                <w:webHidden/>
              </w:rPr>
              <w:fldChar w:fldCharType="separate"/>
            </w:r>
            <w:r>
              <w:rPr>
                <w:noProof/>
                <w:webHidden/>
              </w:rPr>
              <w:t>6</w:t>
            </w:r>
            <w:r>
              <w:rPr>
                <w:noProof/>
                <w:webHidden/>
              </w:rPr>
              <w:fldChar w:fldCharType="end"/>
            </w:r>
          </w:hyperlink>
        </w:p>
        <w:p w14:paraId="01E91DA5" w14:textId="21A9ECAE" w:rsidR="00BC3886" w:rsidRDefault="00BC3886" w:rsidP="00BC3886">
          <w:pPr>
            <w:pStyle w:val="TOC2"/>
            <w:tabs>
              <w:tab w:val="right" w:leader="dot" w:pos="9350"/>
            </w:tabs>
            <w:spacing w:before="0" w:after="0"/>
            <w:rPr>
              <w:noProof/>
            </w:rPr>
          </w:pPr>
          <w:hyperlink w:anchor="_Toc228786300" w:history="1">
            <w:r w:rsidRPr="00C80B6C">
              <w:rPr>
                <w:rStyle w:val="Hyperlink"/>
                <w:noProof/>
                <w:lang w:val="sq-AL"/>
              </w:rPr>
              <w:t>5.1 Kofinansimi</w:t>
            </w:r>
            <w:r>
              <w:rPr>
                <w:noProof/>
                <w:webHidden/>
              </w:rPr>
              <w:tab/>
            </w:r>
            <w:r>
              <w:rPr>
                <w:noProof/>
                <w:webHidden/>
              </w:rPr>
              <w:fldChar w:fldCharType="begin"/>
            </w:r>
            <w:r>
              <w:rPr>
                <w:noProof/>
                <w:webHidden/>
              </w:rPr>
              <w:instrText xml:space="preserve"> PAGEREF _Toc228786300 \h </w:instrText>
            </w:r>
            <w:r>
              <w:rPr>
                <w:noProof/>
                <w:webHidden/>
              </w:rPr>
            </w:r>
            <w:r>
              <w:rPr>
                <w:noProof/>
                <w:webHidden/>
              </w:rPr>
              <w:fldChar w:fldCharType="separate"/>
            </w:r>
            <w:r>
              <w:rPr>
                <w:noProof/>
                <w:webHidden/>
              </w:rPr>
              <w:t>6</w:t>
            </w:r>
            <w:r>
              <w:rPr>
                <w:noProof/>
                <w:webHidden/>
              </w:rPr>
              <w:fldChar w:fldCharType="end"/>
            </w:r>
          </w:hyperlink>
        </w:p>
        <w:p w14:paraId="672300C1" w14:textId="2FB4A6B2" w:rsidR="00BC3886" w:rsidRDefault="00BC3886" w:rsidP="00BC3886">
          <w:pPr>
            <w:pStyle w:val="TOC2"/>
            <w:tabs>
              <w:tab w:val="right" w:leader="dot" w:pos="9350"/>
            </w:tabs>
            <w:spacing w:before="0" w:after="0"/>
            <w:rPr>
              <w:noProof/>
            </w:rPr>
          </w:pPr>
          <w:hyperlink w:anchor="_Toc228786301" w:history="1">
            <w:r w:rsidRPr="00C80B6C">
              <w:rPr>
                <w:rStyle w:val="Hyperlink"/>
                <w:noProof/>
                <w:lang w:val="sq-AL"/>
              </w:rPr>
              <w:t>5.2 Dallimi në çmimet për prokurim të mallrave dhe shërbimeve</w:t>
            </w:r>
            <w:r>
              <w:rPr>
                <w:noProof/>
                <w:webHidden/>
              </w:rPr>
              <w:tab/>
            </w:r>
            <w:r>
              <w:rPr>
                <w:noProof/>
                <w:webHidden/>
              </w:rPr>
              <w:fldChar w:fldCharType="begin"/>
            </w:r>
            <w:r>
              <w:rPr>
                <w:noProof/>
                <w:webHidden/>
              </w:rPr>
              <w:instrText xml:space="preserve"> PAGEREF _Toc228786301 \h </w:instrText>
            </w:r>
            <w:r>
              <w:rPr>
                <w:noProof/>
                <w:webHidden/>
              </w:rPr>
            </w:r>
            <w:r>
              <w:rPr>
                <w:noProof/>
                <w:webHidden/>
              </w:rPr>
              <w:fldChar w:fldCharType="separate"/>
            </w:r>
            <w:r>
              <w:rPr>
                <w:noProof/>
                <w:webHidden/>
              </w:rPr>
              <w:t>7</w:t>
            </w:r>
            <w:r>
              <w:rPr>
                <w:noProof/>
                <w:webHidden/>
              </w:rPr>
              <w:fldChar w:fldCharType="end"/>
            </w:r>
          </w:hyperlink>
        </w:p>
        <w:p w14:paraId="44E0E6B3" w14:textId="033A30BF" w:rsidR="00BC3886" w:rsidRDefault="00BC3886" w:rsidP="00BC3886">
          <w:pPr>
            <w:pStyle w:val="TOC2"/>
            <w:tabs>
              <w:tab w:val="right" w:leader="dot" w:pos="9350"/>
            </w:tabs>
            <w:spacing w:before="0" w:after="0"/>
            <w:rPr>
              <w:noProof/>
            </w:rPr>
          </w:pPr>
          <w:hyperlink w:anchor="_Toc228786302" w:history="1">
            <w:r w:rsidRPr="00C80B6C">
              <w:rPr>
                <w:rStyle w:val="Hyperlink"/>
                <w:noProof/>
                <w:lang w:val="sq-AL"/>
              </w:rPr>
              <w:t>6. Cila është korniza kohore për thirrjen?</w:t>
            </w:r>
            <w:r>
              <w:rPr>
                <w:noProof/>
                <w:webHidden/>
              </w:rPr>
              <w:tab/>
            </w:r>
            <w:r>
              <w:rPr>
                <w:noProof/>
                <w:webHidden/>
              </w:rPr>
              <w:fldChar w:fldCharType="begin"/>
            </w:r>
            <w:r>
              <w:rPr>
                <w:noProof/>
                <w:webHidden/>
              </w:rPr>
              <w:instrText xml:space="preserve"> PAGEREF _Toc228786302 \h </w:instrText>
            </w:r>
            <w:r>
              <w:rPr>
                <w:noProof/>
                <w:webHidden/>
              </w:rPr>
            </w:r>
            <w:r>
              <w:rPr>
                <w:noProof/>
                <w:webHidden/>
              </w:rPr>
              <w:fldChar w:fldCharType="separate"/>
            </w:r>
            <w:r>
              <w:rPr>
                <w:noProof/>
                <w:webHidden/>
              </w:rPr>
              <w:t>7</w:t>
            </w:r>
            <w:r>
              <w:rPr>
                <w:noProof/>
                <w:webHidden/>
              </w:rPr>
              <w:fldChar w:fldCharType="end"/>
            </w:r>
          </w:hyperlink>
        </w:p>
        <w:p w14:paraId="02FF31CE" w14:textId="6A512063" w:rsidR="00BC3886" w:rsidRDefault="00BC3886" w:rsidP="00BC3886">
          <w:pPr>
            <w:pStyle w:val="TOC2"/>
            <w:tabs>
              <w:tab w:val="right" w:leader="dot" w:pos="9350"/>
            </w:tabs>
            <w:spacing w:before="0" w:after="0"/>
            <w:rPr>
              <w:noProof/>
            </w:rPr>
          </w:pPr>
          <w:hyperlink w:anchor="_Toc228786303" w:history="1">
            <w:r w:rsidRPr="00C80B6C">
              <w:rPr>
                <w:rStyle w:val="Hyperlink"/>
                <w:noProof/>
                <w:lang w:val="sq-AL"/>
              </w:rPr>
              <w:t>7. Ku ta dorëzoni aplikacionin?</w:t>
            </w:r>
            <w:r>
              <w:rPr>
                <w:noProof/>
                <w:webHidden/>
              </w:rPr>
              <w:tab/>
            </w:r>
            <w:r>
              <w:rPr>
                <w:noProof/>
                <w:webHidden/>
              </w:rPr>
              <w:fldChar w:fldCharType="begin"/>
            </w:r>
            <w:r>
              <w:rPr>
                <w:noProof/>
                <w:webHidden/>
              </w:rPr>
              <w:instrText xml:space="preserve"> PAGEREF _Toc228786303 \h </w:instrText>
            </w:r>
            <w:r>
              <w:rPr>
                <w:noProof/>
                <w:webHidden/>
              </w:rPr>
            </w:r>
            <w:r>
              <w:rPr>
                <w:noProof/>
                <w:webHidden/>
              </w:rPr>
              <w:fldChar w:fldCharType="separate"/>
            </w:r>
            <w:r>
              <w:rPr>
                <w:noProof/>
                <w:webHidden/>
              </w:rPr>
              <w:t>8</w:t>
            </w:r>
            <w:r>
              <w:rPr>
                <w:noProof/>
                <w:webHidden/>
              </w:rPr>
              <w:fldChar w:fldCharType="end"/>
            </w:r>
          </w:hyperlink>
        </w:p>
        <w:p w14:paraId="132657F9" w14:textId="52325938" w:rsidR="00BC3886" w:rsidRDefault="00BC3886" w:rsidP="00BC3886">
          <w:pPr>
            <w:pStyle w:val="TOC2"/>
            <w:tabs>
              <w:tab w:val="right" w:leader="dot" w:pos="9350"/>
            </w:tabs>
            <w:spacing w:before="0" w:after="0"/>
            <w:rPr>
              <w:noProof/>
            </w:rPr>
          </w:pPr>
          <w:hyperlink w:anchor="_Toc228786304" w:history="1">
            <w:r w:rsidRPr="00C80B6C">
              <w:rPr>
                <w:rStyle w:val="Hyperlink"/>
                <w:noProof/>
                <w:lang w:val="sq-AL"/>
              </w:rPr>
              <w:t>8. Cilat lloje të projekteve për bashkëpunim ndërkomunal nuk financohen?</w:t>
            </w:r>
            <w:r>
              <w:rPr>
                <w:noProof/>
                <w:webHidden/>
              </w:rPr>
              <w:tab/>
            </w:r>
            <w:r>
              <w:rPr>
                <w:noProof/>
                <w:webHidden/>
              </w:rPr>
              <w:fldChar w:fldCharType="begin"/>
            </w:r>
            <w:r>
              <w:rPr>
                <w:noProof/>
                <w:webHidden/>
              </w:rPr>
              <w:instrText xml:space="preserve"> PAGEREF _Toc228786304 \h </w:instrText>
            </w:r>
            <w:r>
              <w:rPr>
                <w:noProof/>
                <w:webHidden/>
              </w:rPr>
            </w:r>
            <w:r>
              <w:rPr>
                <w:noProof/>
                <w:webHidden/>
              </w:rPr>
              <w:fldChar w:fldCharType="separate"/>
            </w:r>
            <w:r>
              <w:rPr>
                <w:noProof/>
                <w:webHidden/>
              </w:rPr>
              <w:t>8</w:t>
            </w:r>
            <w:r>
              <w:rPr>
                <w:noProof/>
                <w:webHidden/>
              </w:rPr>
              <w:fldChar w:fldCharType="end"/>
            </w:r>
          </w:hyperlink>
        </w:p>
        <w:p w14:paraId="41099E69" w14:textId="34702CEE" w:rsidR="00BC3886" w:rsidRDefault="00BC3886" w:rsidP="00BC3886">
          <w:pPr>
            <w:pStyle w:val="TOC2"/>
            <w:tabs>
              <w:tab w:val="right" w:leader="dot" w:pos="9350"/>
            </w:tabs>
            <w:spacing w:before="0" w:after="0"/>
            <w:rPr>
              <w:noProof/>
            </w:rPr>
          </w:pPr>
          <w:hyperlink w:anchor="_Toc228786305" w:history="1">
            <w:r w:rsidRPr="00C80B6C">
              <w:rPr>
                <w:rStyle w:val="Hyperlink"/>
                <w:noProof/>
                <w:lang w:val="sq-AL"/>
              </w:rPr>
              <w:t>9. Cilat shpenzime janë të pranueshme?</w:t>
            </w:r>
            <w:r>
              <w:rPr>
                <w:noProof/>
                <w:webHidden/>
              </w:rPr>
              <w:tab/>
            </w:r>
            <w:r>
              <w:rPr>
                <w:noProof/>
                <w:webHidden/>
              </w:rPr>
              <w:fldChar w:fldCharType="begin"/>
            </w:r>
            <w:r>
              <w:rPr>
                <w:noProof/>
                <w:webHidden/>
              </w:rPr>
              <w:instrText xml:space="preserve"> PAGEREF _Toc228786305 \h </w:instrText>
            </w:r>
            <w:r>
              <w:rPr>
                <w:noProof/>
                <w:webHidden/>
              </w:rPr>
            </w:r>
            <w:r>
              <w:rPr>
                <w:noProof/>
                <w:webHidden/>
              </w:rPr>
              <w:fldChar w:fldCharType="separate"/>
            </w:r>
            <w:r>
              <w:rPr>
                <w:noProof/>
                <w:webHidden/>
              </w:rPr>
              <w:t>9</w:t>
            </w:r>
            <w:r>
              <w:rPr>
                <w:noProof/>
                <w:webHidden/>
              </w:rPr>
              <w:fldChar w:fldCharType="end"/>
            </w:r>
          </w:hyperlink>
        </w:p>
        <w:p w14:paraId="290F0068" w14:textId="7DAB74FD" w:rsidR="00BC3886" w:rsidRDefault="00BC3886" w:rsidP="00BC3886">
          <w:pPr>
            <w:pStyle w:val="TOC2"/>
            <w:tabs>
              <w:tab w:val="right" w:leader="dot" w:pos="9350"/>
            </w:tabs>
            <w:spacing w:before="0" w:after="0"/>
            <w:rPr>
              <w:noProof/>
            </w:rPr>
          </w:pPr>
          <w:hyperlink w:anchor="_Toc228786306" w:history="1">
            <w:r w:rsidRPr="00C80B6C">
              <w:rPr>
                <w:rStyle w:val="Hyperlink"/>
                <w:noProof/>
                <w:lang w:val="sq-AL"/>
              </w:rPr>
              <w:t>10. Lidhja e kontratave me persona të jashtëm / operatorë ekonomik</w:t>
            </w:r>
            <w:r>
              <w:rPr>
                <w:noProof/>
                <w:webHidden/>
              </w:rPr>
              <w:tab/>
            </w:r>
            <w:r>
              <w:rPr>
                <w:noProof/>
                <w:webHidden/>
              </w:rPr>
              <w:fldChar w:fldCharType="begin"/>
            </w:r>
            <w:r>
              <w:rPr>
                <w:noProof/>
                <w:webHidden/>
              </w:rPr>
              <w:instrText xml:space="preserve"> PAGEREF _Toc228786306 \h </w:instrText>
            </w:r>
            <w:r>
              <w:rPr>
                <w:noProof/>
                <w:webHidden/>
              </w:rPr>
            </w:r>
            <w:r>
              <w:rPr>
                <w:noProof/>
                <w:webHidden/>
              </w:rPr>
              <w:fldChar w:fldCharType="separate"/>
            </w:r>
            <w:r>
              <w:rPr>
                <w:noProof/>
                <w:webHidden/>
              </w:rPr>
              <w:t>9</w:t>
            </w:r>
            <w:r>
              <w:rPr>
                <w:noProof/>
                <w:webHidden/>
              </w:rPr>
              <w:fldChar w:fldCharType="end"/>
            </w:r>
          </w:hyperlink>
        </w:p>
        <w:p w14:paraId="3F8F5C97" w14:textId="57CD7D70" w:rsidR="00BC3886" w:rsidRDefault="00BC3886" w:rsidP="00BC3886">
          <w:pPr>
            <w:pStyle w:val="TOC2"/>
            <w:tabs>
              <w:tab w:val="right" w:leader="dot" w:pos="9350"/>
            </w:tabs>
            <w:spacing w:before="0" w:after="0"/>
            <w:rPr>
              <w:noProof/>
            </w:rPr>
          </w:pPr>
          <w:hyperlink w:anchor="_Toc228786307" w:history="1">
            <w:r w:rsidRPr="00C80B6C">
              <w:rPr>
                <w:rStyle w:val="Hyperlink"/>
                <w:noProof/>
                <w:lang w:val="sq-AL"/>
              </w:rPr>
              <w:t>10.1 Të punësuarit në komuna/qendrat</w:t>
            </w:r>
            <w:r>
              <w:rPr>
                <w:noProof/>
                <w:webHidden/>
              </w:rPr>
              <w:tab/>
            </w:r>
            <w:r>
              <w:rPr>
                <w:noProof/>
                <w:webHidden/>
              </w:rPr>
              <w:fldChar w:fldCharType="begin"/>
            </w:r>
            <w:r>
              <w:rPr>
                <w:noProof/>
                <w:webHidden/>
              </w:rPr>
              <w:instrText xml:space="preserve"> PAGEREF _Toc228786307 \h </w:instrText>
            </w:r>
            <w:r>
              <w:rPr>
                <w:noProof/>
                <w:webHidden/>
              </w:rPr>
            </w:r>
            <w:r>
              <w:rPr>
                <w:noProof/>
                <w:webHidden/>
              </w:rPr>
              <w:fldChar w:fldCharType="separate"/>
            </w:r>
            <w:r>
              <w:rPr>
                <w:noProof/>
                <w:webHidden/>
              </w:rPr>
              <w:t>9</w:t>
            </w:r>
            <w:r>
              <w:rPr>
                <w:noProof/>
                <w:webHidden/>
              </w:rPr>
              <w:fldChar w:fldCharType="end"/>
            </w:r>
          </w:hyperlink>
        </w:p>
        <w:p w14:paraId="79DFD947" w14:textId="42747885" w:rsidR="00BC3886" w:rsidRDefault="00BC3886" w:rsidP="00BC3886">
          <w:pPr>
            <w:pStyle w:val="TOC2"/>
            <w:tabs>
              <w:tab w:val="right" w:leader="dot" w:pos="9350"/>
            </w:tabs>
            <w:spacing w:before="0" w:after="0"/>
            <w:rPr>
              <w:noProof/>
            </w:rPr>
          </w:pPr>
          <w:hyperlink w:anchor="_Toc228786308" w:history="1">
            <w:r w:rsidRPr="00C80B6C">
              <w:rPr>
                <w:rStyle w:val="Hyperlink"/>
                <w:noProof/>
                <w:lang w:val="sq-AL"/>
              </w:rPr>
              <w:t>10.2 Konsulentë të jashtëm</w:t>
            </w:r>
            <w:r>
              <w:rPr>
                <w:noProof/>
                <w:webHidden/>
              </w:rPr>
              <w:tab/>
            </w:r>
            <w:r>
              <w:rPr>
                <w:noProof/>
                <w:webHidden/>
              </w:rPr>
              <w:fldChar w:fldCharType="begin"/>
            </w:r>
            <w:r>
              <w:rPr>
                <w:noProof/>
                <w:webHidden/>
              </w:rPr>
              <w:instrText xml:space="preserve"> PAGEREF _Toc228786308 \h </w:instrText>
            </w:r>
            <w:r>
              <w:rPr>
                <w:noProof/>
                <w:webHidden/>
              </w:rPr>
            </w:r>
            <w:r>
              <w:rPr>
                <w:noProof/>
                <w:webHidden/>
              </w:rPr>
              <w:fldChar w:fldCharType="separate"/>
            </w:r>
            <w:r>
              <w:rPr>
                <w:noProof/>
                <w:webHidden/>
              </w:rPr>
              <w:t>9</w:t>
            </w:r>
            <w:r>
              <w:rPr>
                <w:noProof/>
                <w:webHidden/>
              </w:rPr>
              <w:fldChar w:fldCharType="end"/>
            </w:r>
          </w:hyperlink>
        </w:p>
        <w:p w14:paraId="1B9F837D" w14:textId="038AF4A2" w:rsidR="00BC3886" w:rsidRDefault="00BC3886" w:rsidP="00BC3886">
          <w:pPr>
            <w:pStyle w:val="TOC2"/>
            <w:tabs>
              <w:tab w:val="right" w:leader="dot" w:pos="9350"/>
            </w:tabs>
            <w:spacing w:before="0" w:after="0"/>
            <w:rPr>
              <w:noProof/>
            </w:rPr>
          </w:pPr>
          <w:hyperlink w:anchor="_Toc228786309" w:history="1">
            <w:r w:rsidRPr="00C80B6C">
              <w:rPr>
                <w:rStyle w:val="Hyperlink"/>
                <w:noProof/>
                <w:lang w:val="sq-AL"/>
              </w:rPr>
              <w:t>11. Shpenzime të cilat nuk mbulohen me grantin</w:t>
            </w:r>
            <w:r>
              <w:rPr>
                <w:noProof/>
                <w:webHidden/>
              </w:rPr>
              <w:tab/>
            </w:r>
            <w:r>
              <w:rPr>
                <w:noProof/>
                <w:webHidden/>
              </w:rPr>
              <w:fldChar w:fldCharType="begin"/>
            </w:r>
            <w:r>
              <w:rPr>
                <w:noProof/>
                <w:webHidden/>
              </w:rPr>
              <w:instrText xml:space="preserve"> PAGEREF _Toc228786309 \h </w:instrText>
            </w:r>
            <w:r>
              <w:rPr>
                <w:noProof/>
                <w:webHidden/>
              </w:rPr>
            </w:r>
            <w:r>
              <w:rPr>
                <w:noProof/>
                <w:webHidden/>
              </w:rPr>
              <w:fldChar w:fldCharType="separate"/>
            </w:r>
            <w:r>
              <w:rPr>
                <w:noProof/>
                <w:webHidden/>
              </w:rPr>
              <w:t>10</w:t>
            </w:r>
            <w:r>
              <w:rPr>
                <w:noProof/>
                <w:webHidden/>
              </w:rPr>
              <w:fldChar w:fldCharType="end"/>
            </w:r>
          </w:hyperlink>
        </w:p>
        <w:p w14:paraId="51840E47" w14:textId="5C132E84" w:rsidR="00BC3886" w:rsidRDefault="00BC3886" w:rsidP="00BC3886">
          <w:pPr>
            <w:pStyle w:val="TOC2"/>
            <w:tabs>
              <w:tab w:val="right" w:leader="dot" w:pos="9350"/>
            </w:tabs>
            <w:spacing w:before="0" w:after="0"/>
            <w:rPr>
              <w:noProof/>
            </w:rPr>
          </w:pPr>
          <w:hyperlink w:anchor="_Toc228786310" w:history="1">
            <w:r w:rsidRPr="00C80B6C">
              <w:rPr>
                <w:rStyle w:val="Hyperlink"/>
                <w:noProof/>
                <w:lang w:val="sq-AL"/>
              </w:rPr>
              <w:t>12. Evaluimi i projekteve për bashkëpunimit ndërkomunal</w:t>
            </w:r>
            <w:r>
              <w:rPr>
                <w:noProof/>
                <w:webHidden/>
              </w:rPr>
              <w:tab/>
            </w:r>
            <w:r>
              <w:rPr>
                <w:noProof/>
                <w:webHidden/>
              </w:rPr>
              <w:fldChar w:fldCharType="begin"/>
            </w:r>
            <w:r>
              <w:rPr>
                <w:noProof/>
                <w:webHidden/>
              </w:rPr>
              <w:instrText xml:space="preserve"> PAGEREF _Toc228786310 \h </w:instrText>
            </w:r>
            <w:r>
              <w:rPr>
                <w:noProof/>
                <w:webHidden/>
              </w:rPr>
            </w:r>
            <w:r>
              <w:rPr>
                <w:noProof/>
                <w:webHidden/>
              </w:rPr>
              <w:fldChar w:fldCharType="separate"/>
            </w:r>
            <w:r>
              <w:rPr>
                <w:noProof/>
                <w:webHidden/>
              </w:rPr>
              <w:t>10</w:t>
            </w:r>
            <w:r>
              <w:rPr>
                <w:noProof/>
                <w:webHidden/>
              </w:rPr>
              <w:fldChar w:fldCharType="end"/>
            </w:r>
          </w:hyperlink>
        </w:p>
        <w:p w14:paraId="522498A7" w14:textId="18CAA08D" w:rsidR="00BC3886" w:rsidRDefault="00BC3886" w:rsidP="00BC3886">
          <w:pPr>
            <w:pStyle w:val="TOC2"/>
            <w:tabs>
              <w:tab w:val="right" w:leader="dot" w:pos="9350"/>
            </w:tabs>
            <w:spacing w:before="0" w:after="0"/>
            <w:rPr>
              <w:noProof/>
            </w:rPr>
          </w:pPr>
          <w:hyperlink w:anchor="_Toc228786311" w:history="1">
            <w:r w:rsidRPr="00C80B6C">
              <w:rPr>
                <w:rStyle w:val="Hyperlink"/>
                <w:noProof/>
                <w:lang w:val="sq-AL"/>
              </w:rPr>
              <w:t>13. Si është e organizuar procedura për evaluim dhe zgjedhje?</w:t>
            </w:r>
            <w:r>
              <w:rPr>
                <w:noProof/>
                <w:webHidden/>
              </w:rPr>
              <w:tab/>
            </w:r>
            <w:r>
              <w:rPr>
                <w:noProof/>
                <w:webHidden/>
              </w:rPr>
              <w:fldChar w:fldCharType="begin"/>
            </w:r>
            <w:r>
              <w:rPr>
                <w:noProof/>
                <w:webHidden/>
              </w:rPr>
              <w:instrText xml:space="preserve"> PAGEREF _Toc228786311 \h </w:instrText>
            </w:r>
            <w:r>
              <w:rPr>
                <w:noProof/>
                <w:webHidden/>
              </w:rPr>
            </w:r>
            <w:r>
              <w:rPr>
                <w:noProof/>
                <w:webHidden/>
              </w:rPr>
              <w:fldChar w:fldCharType="separate"/>
            </w:r>
            <w:r>
              <w:rPr>
                <w:noProof/>
                <w:webHidden/>
              </w:rPr>
              <w:t>10</w:t>
            </w:r>
            <w:r>
              <w:rPr>
                <w:noProof/>
                <w:webHidden/>
              </w:rPr>
              <w:fldChar w:fldCharType="end"/>
            </w:r>
          </w:hyperlink>
        </w:p>
        <w:p w14:paraId="610116DB" w14:textId="6E79E228" w:rsidR="00BC3886" w:rsidRDefault="00BC3886" w:rsidP="00BC3886">
          <w:pPr>
            <w:pStyle w:val="TOC2"/>
            <w:tabs>
              <w:tab w:val="right" w:leader="dot" w:pos="9350"/>
            </w:tabs>
            <w:spacing w:before="0" w:after="0"/>
            <w:rPr>
              <w:noProof/>
            </w:rPr>
          </w:pPr>
          <w:hyperlink w:anchor="_Toc228786312" w:history="1">
            <w:r w:rsidRPr="00C80B6C">
              <w:rPr>
                <w:rStyle w:val="Hyperlink"/>
                <w:noProof/>
                <w:lang w:val="sq-AL"/>
              </w:rPr>
              <w:t>14. Modalitetet për realizimin e projektit</w:t>
            </w:r>
            <w:r>
              <w:rPr>
                <w:noProof/>
                <w:webHidden/>
              </w:rPr>
              <w:tab/>
            </w:r>
            <w:r>
              <w:rPr>
                <w:noProof/>
                <w:webHidden/>
              </w:rPr>
              <w:fldChar w:fldCharType="begin"/>
            </w:r>
            <w:r>
              <w:rPr>
                <w:noProof/>
                <w:webHidden/>
              </w:rPr>
              <w:instrText xml:space="preserve"> PAGEREF _Toc228786312 \h </w:instrText>
            </w:r>
            <w:r>
              <w:rPr>
                <w:noProof/>
                <w:webHidden/>
              </w:rPr>
            </w:r>
            <w:r>
              <w:rPr>
                <w:noProof/>
                <w:webHidden/>
              </w:rPr>
              <w:fldChar w:fldCharType="separate"/>
            </w:r>
            <w:r>
              <w:rPr>
                <w:noProof/>
                <w:webHidden/>
              </w:rPr>
              <w:t>11</w:t>
            </w:r>
            <w:r>
              <w:rPr>
                <w:noProof/>
                <w:webHidden/>
              </w:rPr>
              <w:fldChar w:fldCharType="end"/>
            </w:r>
          </w:hyperlink>
        </w:p>
        <w:p w14:paraId="01D6C7BF" w14:textId="1A2D3799" w:rsidR="00BC3886" w:rsidRDefault="00BC3886" w:rsidP="00BC3886">
          <w:pPr>
            <w:pStyle w:val="TOC2"/>
            <w:tabs>
              <w:tab w:val="right" w:leader="dot" w:pos="9350"/>
            </w:tabs>
            <w:spacing w:before="0" w:after="0"/>
            <w:rPr>
              <w:noProof/>
            </w:rPr>
          </w:pPr>
          <w:hyperlink w:anchor="_Toc228786313" w:history="1">
            <w:r w:rsidRPr="00C80B6C">
              <w:rPr>
                <w:rStyle w:val="Hyperlink"/>
                <w:noProof/>
                <w:lang w:val="sq-AL"/>
              </w:rPr>
              <w:t>15. Menaxhimi dhe monitorimi</w:t>
            </w:r>
            <w:r>
              <w:rPr>
                <w:noProof/>
                <w:webHidden/>
              </w:rPr>
              <w:tab/>
            </w:r>
            <w:r>
              <w:rPr>
                <w:noProof/>
                <w:webHidden/>
              </w:rPr>
              <w:fldChar w:fldCharType="begin"/>
            </w:r>
            <w:r>
              <w:rPr>
                <w:noProof/>
                <w:webHidden/>
              </w:rPr>
              <w:instrText xml:space="preserve"> PAGEREF _Toc228786313 \h </w:instrText>
            </w:r>
            <w:r>
              <w:rPr>
                <w:noProof/>
                <w:webHidden/>
              </w:rPr>
            </w:r>
            <w:r>
              <w:rPr>
                <w:noProof/>
                <w:webHidden/>
              </w:rPr>
              <w:fldChar w:fldCharType="separate"/>
            </w:r>
            <w:r>
              <w:rPr>
                <w:noProof/>
                <w:webHidden/>
              </w:rPr>
              <w:t>11</w:t>
            </w:r>
            <w:r>
              <w:rPr>
                <w:noProof/>
                <w:webHidden/>
              </w:rPr>
              <w:fldChar w:fldCharType="end"/>
            </w:r>
          </w:hyperlink>
        </w:p>
        <w:p w14:paraId="27B9AB5A" w14:textId="3BA53EBB" w:rsidR="00BC3886" w:rsidRDefault="00BC3886" w:rsidP="00BC3886">
          <w:pPr>
            <w:pStyle w:val="TOC2"/>
            <w:tabs>
              <w:tab w:val="right" w:leader="dot" w:pos="9350"/>
            </w:tabs>
            <w:spacing w:before="0" w:after="0"/>
            <w:rPr>
              <w:noProof/>
            </w:rPr>
          </w:pPr>
          <w:hyperlink w:anchor="_Toc228786314" w:history="1">
            <w:r w:rsidRPr="00C80B6C">
              <w:rPr>
                <w:rStyle w:val="Hyperlink"/>
                <w:noProof/>
                <w:lang w:val="sq-AL"/>
              </w:rPr>
              <w:t>16. Cilat janë obligimet në lidhje me parashtrimin e raporteve?</w:t>
            </w:r>
            <w:r>
              <w:rPr>
                <w:noProof/>
                <w:webHidden/>
              </w:rPr>
              <w:tab/>
            </w:r>
            <w:r>
              <w:rPr>
                <w:noProof/>
                <w:webHidden/>
              </w:rPr>
              <w:fldChar w:fldCharType="begin"/>
            </w:r>
            <w:r>
              <w:rPr>
                <w:noProof/>
                <w:webHidden/>
              </w:rPr>
              <w:instrText xml:space="preserve"> PAGEREF _Toc228786314 \h </w:instrText>
            </w:r>
            <w:r>
              <w:rPr>
                <w:noProof/>
                <w:webHidden/>
              </w:rPr>
            </w:r>
            <w:r>
              <w:rPr>
                <w:noProof/>
                <w:webHidden/>
              </w:rPr>
              <w:fldChar w:fldCharType="separate"/>
            </w:r>
            <w:r>
              <w:rPr>
                <w:noProof/>
                <w:webHidden/>
              </w:rPr>
              <w:t>11</w:t>
            </w:r>
            <w:r>
              <w:rPr>
                <w:noProof/>
                <w:webHidden/>
              </w:rPr>
              <w:fldChar w:fldCharType="end"/>
            </w:r>
          </w:hyperlink>
        </w:p>
        <w:p w14:paraId="18EF61AF" w14:textId="1E289F8C" w:rsidR="00BC3886" w:rsidRDefault="00BC3886" w:rsidP="00BC3886">
          <w:pPr>
            <w:pStyle w:val="TOC2"/>
            <w:tabs>
              <w:tab w:val="right" w:leader="dot" w:pos="9350"/>
            </w:tabs>
            <w:spacing w:before="0" w:after="0"/>
            <w:rPr>
              <w:noProof/>
            </w:rPr>
          </w:pPr>
          <w:hyperlink w:anchor="_Toc228786315" w:history="1">
            <w:r w:rsidRPr="00C80B6C">
              <w:rPr>
                <w:rStyle w:val="Hyperlink"/>
                <w:noProof/>
                <w:lang w:val="sq-AL"/>
              </w:rPr>
              <w:t>17. Kriteret për evaluim dhe zgjedhje të aplikacioneve të parashtruara</w:t>
            </w:r>
            <w:r>
              <w:rPr>
                <w:noProof/>
                <w:webHidden/>
              </w:rPr>
              <w:tab/>
            </w:r>
            <w:r>
              <w:rPr>
                <w:noProof/>
                <w:webHidden/>
              </w:rPr>
              <w:fldChar w:fldCharType="begin"/>
            </w:r>
            <w:r>
              <w:rPr>
                <w:noProof/>
                <w:webHidden/>
              </w:rPr>
              <w:instrText xml:space="preserve"> PAGEREF _Toc228786315 \h </w:instrText>
            </w:r>
            <w:r>
              <w:rPr>
                <w:noProof/>
                <w:webHidden/>
              </w:rPr>
            </w:r>
            <w:r>
              <w:rPr>
                <w:noProof/>
                <w:webHidden/>
              </w:rPr>
              <w:fldChar w:fldCharType="separate"/>
            </w:r>
            <w:r>
              <w:rPr>
                <w:noProof/>
                <w:webHidden/>
              </w:rPr>
              <w:t>12</w:t>
            </w:r>
            <w:r>
              <w:rPr>
                <w:noProof/>
                <w:webHidden/>
              </w:rPr>
              <w:fldChar w:fldCharType="end"/>
            </w:r>
          </w:hyperlink>
        </w:p>
        <w:p w14:paraId="328333B8" w14:textId="42CADDE8" w:rsidR="00BC3886" w:rsidRDefault="00BC3886" w:rsidP="00BC3886">
          <w:pPr>
            <w:pStyle w:val="TOC2"/>
            <w:tabs>
              <w:tab w:val="right" w:leader="dot" w:pos="9350"/>
            </w:tabs>
            <w:spacing w:before="0" w:after="0"/>
            <w:rPr>
              <w:noProof/>
            </w:rPr>
          </w:pPr>
          <w:hyperlink w:anchor="_Toc228786316" w:history="1">
            <w:r w:rsidRPr="00C80B6C">
              <w:rPr>
                <w:rStyle w:val="Hyperlink"/>
                <w:noProof/>
                <w:lang w:val="sq-AL"/>
              </w:rPr>
              <w:t>17.1 Përshtatshmëria administrative</w:t>
            </w:r>
            <w:r>
              <w:rPr>
                <w:noProof/>
                <w:webHidden/>
              </w:rPr>
              <w:tab/>
            </w:r>
            <w:r>
              <w:rPr>
                <w:noProof/>
                <w:webHidden/>
              </w:rPr>
              <w:fldChar w:fldCharType="begin"/>
            </w:r>
            <w:r>
              <w:rPr>
                <w:noProof/>
                <w:webHidden/>
              </w:rPr>
              <w:instrText xml:space="preserve"> PAGEREF _Toc228786316 \h </w:instrText>
            </w:r>
            <w:r>
              <w:rPr>
                <w:noProof/>
                <w:webHidden/>
              </w:rPr>
            </w:r>
            <w:r>
              <w:rPr>
                <w:noProof/>
                <w:webHidden/>
              </w:rPr>
              <w:fldChar w:fldCharType="separate"/>
            </w:r>
            <w:r>
              <w:rPr>
                <w:noProof/>
                <w:webHidden/>
              </w:rPr>
              <w:t>12</w:t>
            </w:r>
            <w:r>
              <w:rPr>
                <w:noProof/>
                <w:webHidden/>
              </w:rPr>
              <w:fldChar w:fldCharType="end"/>
            </w:r>
          </w:hyperlink>
        </w:p>
        <w:p w14:paraId="6E63D5B5" w14:textId="244B5891" w:rsidR="00BC3886" w:rsidRDefault="00BC3886" w:rsidP="00BC3886">
          <w:pPr>
            <w:pStyle w:val="TOC2"/>
            <w:tabs>
              <w:tab w:val="right" w:leader="dot" w:pos="9350"/>
            </w:tabs>
            <w:spacing w:before="0" w:after="0"/>
            <w:rPr>
              <w:noProof/>
            </w:rPr>
          </w:pPr>
          <w:hyperlink w:anchor="_Toc228786317" w:history="1">
            <w:r w:rsidRPr="00C80B6C">
              <w:rPr>
                <w:rStyle w:val="Hyperlink"/>
                <w:noProof/>
                <w:lang w:val="sq-AL"/>
              </w:rPr>
              <w:t>17.2 Përshtatshmëria teknike</w:t>
            </w:r>
            <w:r>
              <w:rPr>
                <w:noProof/>
                <w:webHidden/>
              </w:rPr>
              <w:tab/>
            </w:r>
            <w:r>
              <w:rPr>
                <w:noProof/>
                <w:webHidden/>
              </w:rPr>
              <w:fldChar w:fldCharType="begin"/>
            </w:r>
            <w:r>
              <w:rPr>
                <w:noProof/>
                <w:webHidden/>
              </w:rPr>
              <w:instrText xml:space="preserve"> PAGEREF _Toc228786317 \h </w:instrText>
            </w:r>
            <w:r>
              <w:rPr>
                <w:noProof/>
                <w:webHidden/>
              </w:rPr>
            </w:r>
            <w:r>
              <w:rPr>
                <w:noProof/>
                <w:webHidden/>
              </w:rPr>
              <w:fldChar w:fldCharType="separate"/>
            </w:r>
            <w:r>
              <w:rPr>
                <w:noProof/>
                <w:webHidden/>
              </w:rPr>
              <w:t>13</w:t>
            </w:r>
            <w:r>
              <w:rPr>
                <w:noProof/>
                <w:webHidden/>
              </w:rPr>
              <w:fldChar w:fldCharType="end"/>
            </w:r>
          </w:hyperlink>
        </w:p>
        <w:p w14:paraId="29042D8A" w14:textId="070A85FB" w:rsidR="00D240D3" w:rsidRPr="00D240D3" w:rsidRDefault="00D240D3" w:rsidP="00D240D3">
          <w:pPr>
            <w:spacing w:after="160" w:line="278" w:lineRule="auto"/>
            <w:rPr>
              <w:lang w:val="sq-AL"/>
            </w:rPr>
          </w:pPr>
          <w:r w:rsidRPr="00D240D3">
            <w:fldChar w:fldCharType="end"/>
          </w:r>
        </w:p>
      </w:sdtContent>
    </w:sdt>
    <w:p w14:paraId="2053DD87" w14:textId="77777777" w:rsidR="00D240D3" w:rsidRPr="00D240D3" w:rsidRDefault="00D240D3" w:rsidP="00D240D3">
      <w:pPr>
        <w:spacing w:line="278" w:lineRule="auto"/>
        <w:rPr>
          <w:b/>
          <w:bCs/>
          <w:lang w:val="sq-AL"/>
        </w:rPr>
      </w:pPr>
      <w:r w:rsidRPr="00D240D3">
        <w:rPr>
          <w:b/>
          <w:bCs/>
          <w:lang w:val="sq-AL"/>
        </w:rPr>
        <w:br w:type="page"/>
      </w:r>
    </w:p>
    <w:p w14:paraId="4C664814" w14:textId="77777777" w:rsidR="00D240D3" w:rsidRPr="00D240D3" w:rsidRDefault="00D240D3" w:rsidP="00BC3886">
      <w:pPr>
        <w:pStyle w:val="Heading2"/>
        <w:rPr>
          <w:lang w:val="sq-AL"/>
        </w:rPr>
      </w:pPr>
      <w:r w:rsidRPr="00D240D3">
        <w:rPr>
          <w:lang w:val="sq-AL"/>
        </w:rPr>
        <w:lastRenderedPageBreak/>
        <w:t>Hyrje</w:t>
      </w:r>
    </w:p>
    <w:p w14:paraId="070C7603" w14:textId="77777777" w:rsidR="00D240D3" w:rsidRPr="00D240D3" w:rsidRDefault="00D240D3" w:rsidP="00D240D3">
      <w:pPr>
        <w:spacing w:after="160" w:line="278" w:lineRule="auto"/>
        <w:jc w:val="both"/>
        <w:rPr>
          <w:lang w:val="sq-AL"/>
        </w:rPr>
      </w:pPr>
      <w:r w:rsidRPr="00D240D3">
        <w:rPr>
          <w:lang w:val="sq-AL"/>
        </w:rPr>
        <w:t>Byroja për Zhvillim Rajonal, në përputhje me Ligjin, zbaton aktivitete me të cilat kontribuon në realizimin e qëllimeve të politikës të përcaktuara në dokumentet e planifikimit për zhvillim të barabartë rajonal. Njëra nga kompetencat kryesore të Byrosë për Zhvillim Rajonal është financimi i projekteve për zhvillim të barabartë rajonal. Në këtë drejtim dhe me qëllim të inkurajimit të zhvillimit të barabartë rajonal, Byroja për Zhvillim Rajonal dhe Programi i Kombeve të Bashkuara për Zhvillim (UNDP) kanë lidhur marrëveshje me të cilën Byroja jep mbështetje për zbatimin e projekteve përmes të cilave financohen projekte që do të kontribuojnë në zhvillimin e barabartë rajonal.</w:t>
      </w:r>
    </w:p>
    <w:p w14:paraId="2A70D4F6" w14:textId="77777777" w:rsidR="00D240D3" w:rsidRPr="00D240D3" w:rsidRDefault="00D240D3" w:rsidP="00D240D3">
      <w:pPr>
        <w:spacing w:after="160" w:line="278" w:lineRule="auto"/>
        <w:jc w:val="both"/>
        <w:rPr>
          <w:lang w:val="sq-AL"/>
        </w:rPr>
      </w:pPr>
      <w:r w:rsidRPr="00D240D3">
        <w:rPr>
          <w:lang w:val="sq-AL"/>
        </w:rPr>
        <w:t>Si rezultat i decentralizimit, komunat fituan numër të madh të kompetencave nga ana e pushtetit qendror. Nga njëra anë, kjo i afroi shërbimet më afër qytetarëve por njëkohësisht për komunat e rriti vëllimin e kompetencave dhe detyrave. Për shkak të mungesës së finanave, kapaciteteve administrative dhe të resurseve njerëzore, ofrimi i pavarur i kompetencave të shtuara paraqet sfidë, veçanërisht për komunat më të vogla.</w:t>
      </w:r>
    </w:p>
    <w:p w14:paraId="24B58C8A" w14:textId="77777777" w:rsidR="00D240D3" w:rsidRPr="00D240D3" w:rsidRDefault="00D240D3" w:rsidP="00D240D3">
      <w:pPr>
        <w:spacing w:after="160" w:line="278" w:lineRule="auto"/>
        <w:jc w:val="both"/>
        <w:rPr>
          <w:lang w:val="sq-AL"/>
        </w:rPr>
      </w:pPr>
      <w:r w:rsidRPr="00D240D3">
        <w:rPr>
          <w:lang w:val="sq-AL"/>
        </w:rPr>
        <w:t xml:space="preserve">Situata e këtillë kërkon gjetjen e mënyrave më efikase të cilat do mund të zbatohen në vend; një mënyrë e tillë për tejkalimin e mangësive ekzistuese është aplikimi i bashkëpunimit ndërkomunal (BNK) si një mundësi e dhënë me Ligjin për bashkëpunim ndërkomunal dhe Ligjin për vetëqeverisje lokale. </w:t>
      </w:r>
    </w:p>
    <w:p w14:paraId="3EA780C2" w14:textId="77777777" w:rsidR="00D240D3" w:rsidRPr="00D240D3" w:rsidRDefault="00D240D3" w:rsidP="00D240D3">
      <w:pPr>
        <w:spacing w:after="160" w:line="278" w:lineRule="auto"/>
        <w:jc w:val="both"/>
        <w:rPr>
          <w:lang w:val="sq-AL"/>
        </w:rPr>
      </w:pPr>
      <w:r w:rsidRPr="00D240D3">
        <w:rPr>
          <w:lang w:val="sq-AL"/>
        </w:rPr>
        <w:t>Përmes bashkëpunimit ndërkomunal, komunat mund të kryejnë më me sukses kompetencat e tyre, të përmirësojnë cilësinë, efikasitetin dhe efektivitetin e shërbimeve ekzistuese të ofruara për qytetarët si dhe ofrimin e shërbimeve që ata, sipas ligjit do të duhej, mirëpo për arsye të ndryshme nuk janë në gjendje t’i ofrojnë vetë. Bashkëpunimi ndërkomunal kontribuon në ekonominë e shkallës, procedura dhe sisteme të shërbimeve më efektive, shfrytëzimin më të mirë të teknologjisë informatike dhe të komunikimit në administrimin e shërbimeve, sigurimin e kapaciteteve të duhura administrative dhe njerëzore dhe kënaqësinë më të mirë të nevojave të qytetarëve.</w:t>
      </w:r>
    </w:p>
    <w:p w14:paraId="0F3F3B81" w14:textId="77777777" w:rsidR="00D240D3" w:rsidRPr="00D240D3" w:rsidRDefault="00D240D3" w:rsidP="00D240D3">
      <w:pPr>
        <w:spacing w:after="160" w:line="278" w:lineRule="auto"/>
        <w:jc w:val="both"/>
        <w:rPr>
          <w:lang w:val="sq-AL"/>
        </w:rPr>
      </w:pPr>
      <w:r w:rsidRPr="00D240D3">
        <w:rPr>
          <w:lang w:val="sq-AL"/>
        </w:rPr>
        <w:t>Në vitin 2009, u miratua Ligji për bashkëpunim ndërkomunal. Sipas këtij ligji, BNK definohet si "Bashkëpunim i vendosur midis dy ose më shumë komunave me qëllim të kryerjes më efikase dhe ekonomike të kompetencave të komunave të përcaktuara me ligj dhe për realizimin e interesave dhe qëllimeve të tyre të përbashkëta". Gjithashtu, me bashkëpunimin ndërkomunal nënkuptohet edhe “Kryerja e detyrave të caktuara brenda kompetencës së komunave nga ana e një komunë në llogari të një ose më shumë komunave të tjera në bazë të një marrëveshjeje të lidhur midis komunave”.</w:t>
      </w:r>
    </w:p>
    <w:p w14:paraId="6368F30B" w14:textId="62A98F7D" w:rsidR="00D240D3" w:rsidRPr="00812984" w:rsidRDefault="00D240D3" w:rsidP="00D240D3">
      <w:pPr>
        <w:spacing w:after="160" w:line="278" w:lineRule="auto"/>
        <w:jc w:val="both"/>
        <w:rPr>
          <w:lang w:val="sq-AL"/>
        </w:rPr>
      </w:pPr>
      <w:r w:rsidRPr="00D240D3">
        <w:rPr>
          <w:lang w:val="sq-AL"/>
        </w:rPr>
        <w:t>Bashkëpunimi midis komunave duhet të forcohet më tej sepse sjell përfitime të qarta, veçanërisht për komunat e vogla dhe ato rurale. Gjatë fazës së parë të projektit është bërë thirrje e hapur për dorëzim të projekteve përmes të cilës janë financuar 11 projekte për bashkëpunim ndërkomunal ku ishin të përfshira 33 komuna nga vendi</w:t>
      </w:r>
      <w:r w:rsidRPr="00812984">
        <w:rPr>
          <w:lang w:val="sq-AL"/>
        </w:rPr>
        <w:t xml:space="preserve">. </w:t>
      </w:r>
      <w:r w:rsidRPr="00812984">
        <w:t>Në fazën e dytë të projektit u financuan 3 projekte për bashkëpunim ndërkomunal në 7 komuna të reja.</w:t>
      </w:r>
      <w:r w:rsidRPr="00812984">
        <w:rPr>
          <w:lang w:val="sq-AL"/>
        </w:rPr>
        <w:t xml:space="preserve"> Projekti hasi në përgjigje pozitive tek komunat ndërsa efektet që u arritën ishin domethënëse. U zbatuan projekte nga fusha e digjitalizimit, zhvillimit ekonomik lokal, mbrojtja dhe parandalimi nga rreziqet dhe fatkeqësitë dhe mbrojtja sociale.</w:t>
      </w:r>
    </w:p>
    <w:p w14:paraId="6DD65D5E" w14:textId="0E80C246" w:rsidR="00D240D3" w:rsidRPr="00D240D3" w:rsidRDefault="00D240D3" w:rsidP="00D240D3">
      <w:pPr>
        <w:spacing w:after="160" w:line="278" w:lineRule="auto"/>
        <w:jc w:val="both"/>
        <w:rPr>
          <w:lang w:val="sq-AL"/>
        </w:rPr>
      </w:pPr>
      <w:r w:rsidRPr="00812984">
        <w:rPr>
          <w:lang w:val="sq-AL"/>
        </w:rPr>
        <w:t>Thirrj</w:t>
      </w:r>
      <w:r w:rsidR="0039649F" w:rsidRPr="00812984">
        <w:rPr>
          <w:lang w:val="sq-AL"/>
        </w:rPr>
        <w:t>a</w:t>
      </w:r>
      <w:r w:rsidRPr="00812984">
        <w:rPr>
          <w:lang w:val="sq-AL"/>
        </w:rPr>
        <w:t xml:space="preserve"> e Tretë e hapur ka për qëllim të vazhdojë me promovimin e bashkëpunimit ndërkomunal si vegël ligjore e cila është e disponueshme</w:t>
      </w:r>
      <w:r w:rsidRPr="00D240D3">
        <w:rPr>
          <w:lang w:val="sq-AL"/>
        </w:rPr>
        <w:t xml:space="preserve"> për komunat në kryerjen e detyrimeve të tyre. Inkurajohen komunat të dorëzojnë projekte të përbashkëta përmes të cilave do të zbulojnë sfidat gjatë funksionimit dhe do të gjejnë zgjidhje me </w:t>
      </w:r>
      <w:r w:rsidRPr="00D240D3">
        <w:rPr>
          <w:lang w:val="sq-AL"/>
        </w:rPr>
        <w:lastRenderedPageBreak/>
        <w:t xml:space="preserve">të cilat këto sfida do të tejkalohen. Për këtë qëllim bëhet Thirrja e </w:t>
      </w:r>
      <w:r w:rsidRPr="00812984">
        <w:rPr>
          <w:lang w:val="sq-AL"/>
        </w:rPr>
        <w:t>Tretë p</w:t>
      </w:r>
      <w:r w:rsidR="00043C2A" w:rsidRPr="00812984">
        <w:rPr>
          <w:lang w:val="sq-AL"/>
        </w:rPr>
        <w:t>ë</w:t>
      </w:r>
      <w:r w:rsidR="00E92BCC" w:rsidRPr="00812984">
        <w:rPr>
          <w:lang w:val="sq-AL"/>
        </w:rPr>
        <w:t>r</w:t>
      </w:r>
      <w:r w:rsidRPr="00812984">
        <w:rPr>
          <w:lang w:val="sq-AL"/>
        </w:rPr>
        <w:t>m</w:t>
      </w:r>
      <w:r w:rsidR="00043C2A" w:rsidRPr="00812984">
        <w:rPr>
          <w:lang w:val="sq-AL"/>
        </w:rPr>
        <w:t>e</w:t>
      </w:r>
      <w:r w:rsidRPr="00812984">
        <w:rPr>
          <w:lang w:val="sq-AL"/>
        </w:rPr>
        <w:t>s së cilës komunat do të mund të paraqiten me projekte të cilat do të kontribuojnë në sigurimin e zhvilli</w:t>
      </w:r>
      <w:r w:rsidRPr="00D240D3">
        <w:rPr>
          <w:lang w:val="sq-AL"/>
        </w:rPr>
        <w:t>mit të barabartë rajonal dhe lokal që është inkluziv, i ndjeshëm ndaj gjinisë, i bazuar në prova i cili plotësisht i përgjigjet nevojave zhvillimore të komunave të zhvilluara më pak.</w:t>
      </w:r>
    </w:p>
    <w:p w14:paraId="585EDD35" w14:textId="77777777" w:rsidR="00D240D3" w:rsidRPr="003F7DDF" w:rsidRDefault="00D240D3" w:rsidP="003F7DDF">
      <w:pPr>
        <w:pStyle w:val="Heading2"/>
        <w:rPr>
          <w:lang w:val="sq-AL"/>
        </w:rPr>
      </w:pPr>
      <w:bookmarkStart w:id="0" w:name="_Toc228786292"/>
      <w:r w:rsidRPr="003F7DDF">
        <w:rPr>
          <w:lang w:val="sq-AL"/>
        </w:rPr>
        <w:t>1.  Cili është qëllimi kryesor i thirrjes për projekte?</w:t>
      </w:r>
      <w:bookmarkEnd w:id="0"/>
      <w:r w:rsidRPr="003F7DDF">
        <w:rPr>
          <w:lang w:val="sq-AL"/>
        </w:rPr>
        <w:t xml:space="preserve"> </w:t>
      </w:r>
    </w:p>
    <w:p w14:paraId="4A59239A" w14:textId="77777777" w:rsidR="00D240D3" w:rsidRPr="003F7DDF" w:rsidRDefault="00D240D3" w:rsidP="003F7DDF">
      <w:pPr>
        <w:pStyle w:val="Heading2"/>
        <w:rPr>
          <w:lang w:val="sq-AL"/>
        </w:rPr>
      </w:pPr>
    </w:p>
    <w:p w14:paraId="58B7B39E" w14:textId="77777777" w:rsidR="00D240D3" w:rsidRPr="00D240D3" w:rsidRDefault="00D240D3" w:rsidP="00D240D3">
      <w:pPr>
        <w:spacing w:after="160" w:line="278" w:lineRule="auto"/>
        <w:jc w:val="both"/>
        <w:rPr>
          <w:lang w:val="sq-AL"/>
        </w:rPr>
      </w:pPr>
      <w:r w:rsidRPr="00D240D3">
        <w:rPr>
          <w:lang w:val="sq-AL"/>
        </w:rPr>
        <w:t>Në kontekstin e mësipërm, qëllimi i kësaj thirrjeje është të mbështesë përpjekjet duke prezantuar vegla inovative për zhvillim të barabartë rajonal, duke u përqëndruar në zonat më të pazhvilluara dhe modelet e përmirësuara të bashkëpunimit ndërkomunal. Me këtë do të kontribuohet për shërbime më të mira lokale, duke siguruar modele për replikim në të ardhmen në vend dhe kështu do të kontribuohet në një zhvillim të barabartë dhe gjithëpërfshirës për një kohë të gjatë. Me këtë do të kontribuohet në shërbime më të mira lokale dhe në këtë mënyrë do të bëhet hap plotësues drejt një zhvillimi gjithëpërfshirës dhe afatgjatë të barabartë rajonal.</w:t>
      </w:r>
    </w:p>
    <w:p w14:paraId="3C1A3A0B" w14:textId="77777777" w:rsidR="00D240D3" w:rsidRPr="00D240D3" w:rsidRDefault="00D240D3" w:rsidP="00D240D3">
      <w:pPr>
        <w:spacing w:after="160" w:line="278" w:lineRule="auto"/>
        <w:jc w:val="both"/>
        <w:rPr>
          <w:lang w:val="sq-AL"/>
        </w:rPr>
      </w:pPr>
      <w:r w:rsidRPr="00D240D3">
        <w:rPr>
          <w:lang w:val="sq-AL"/>
        </w:rPr>
        <w:t>Qëllimi i kësaj thirrjeje për projekte është që të sigurojë mbështetje për përforcimin e kapaciteteve të njësive për vetëqeverisje lokale (NJVL) përmes mbështetjes së modeleve novatore të bashkëpunimit të përcaktuara nga Ligji për vetëqeverisje lokale si dhe/ose format ekzistuese të BNK si mjet për zbatim të politikës për zhvillim të barabartë rajonal dhe ofrim më të mirë të shërbimeve ndaj qytetarëve.</w:t>
      </w:r>
    </w:p>
    <w:p w14:paraId="553183AC" w14:textId="77777777" w:rsidR="00D240D3" w:rsidRPr="00D240D3" w:rsidRDefault="00D240D3" w:rsidP="003F7DDF">
      <w:pPr>
        <w:pStyle w:val="Heading2"/>
        <w:rPr>
          <w:lang w:val="sq-AL"/>
        </w:rPr>
      </w:pPr>
      <w:r w:rsidRPr="00D240D3">
        <w:rPr>
          <w:lang w:val="sq-AL"/>
        </w:rPr>
        <w:t xml:space="preserve"> </w:t>
      </w:r>
      <w:bookmarkStart w:id="1" w:name="_Toc228786293"/>
      <w:r w:rsidRPr="00D240D3">
        <w:rPr>
          <w:lang w:val="sq-AL"/>
        </w:rPr>
        <w:t>2. Cilat janë fushat prioritare dhe format e pranueshme të bashkëpunimit ndërkomunal në kuadër të kësaj thirrjeje?</w:t>
      </w:r>
      <w:bookmarkEnd w:id="1"/>
      <w:r w:rsidRPr="00D240D3">
        <w:rPr>
          <w:lang w:val="sq-AL"/>
        </w:rPr>
        <w:t xml:space="preserve"> </w:t>
      </w:r>
    </w:p>
    <w:p w14:paraId="679548DB" w14:textId="77777777" w:rsidR="00D240D3" w:rsidRPr="00D240D3" w:rsidRDefault="00D240D3" w:rsidP="00D240D3">
      <w:pPr>
        <w:spacing w:after="160" w:line="278" w:lineRule="auto"/>
        <w:jc w:val="both"/>
        <w:rPr>
          <w:lang w:val="sq-AL"/>
        </w:rPr>
      </w:pPr>
      <w:r w:rsidRPr="00D240D3">
        <w:rPr>
          <w:lang w:val="sq-AL"/>
        </w:rPr>
        <w:t xml:space="preserve">Kjo thirrje për projekte do të mbështesë zhvillimin dhe testimin e formave inovative të bashkëpunimit ndërkomunal si një mjet për zbatimin e politikës së zhvillimit të barabartë rajonal dhe përmirësimin e ofrimit të shërbimeve për qytetarët. </w:t>
      </w:r>
    </w:p>
    <w:p w14:paraId="061F0E76" w14:textId="77777777" w:rsidR="00D240D3" w:rsidRPr="00D240D3" w:rsidRDefault="00D240D3" w:rsidP="00D240D3">
      <w:pPr>
        <w:spacing w:after="160" w:line="278" w:lineRule="auto"/>
        <w:rPr>
          <w:lang w:val="sq-AL"/>
        </w:rPr>
      </w:pPr>
      <w:r w:rsidRPr="00D240D3">
        <w:rPr>
          <w:b/>
          <w:lang w:val="sq-AL"/>
        </w:rPr>
        <w:t>Fushat prioritare në të cilat komunat do të mbështeten për të vendosur bashkëpunimin ndërkomunal janë:</w:t>
      </w:r>
      <w:r w:rsidRPr="00D240D3">
        <w:rPr>
          <w:lang w:val="sq-AL"/>
        </w:rPr>
        <w:t xml:space="preserve"> menaxhimi financiar, mbrojtja e mjedisit jetësor, transporti, parandalimi, mbrojtja dhe shpëtimi nga fatkeqësitë natyrore dhe katastrofat të shkaktuara nga njeriu si dhe në fusha të tjera që tradicionalisht janë lëndë e politikës për zhvillim rajonal të BE-së dhe me të cilat BNK në mënyrë të konsiderueshme mund të zvogëlohen kostot e shërbimeve për qytetarë si edhe për buxhetet komunale.</w:t>
      </w:r>
    </w:p>
    <w:p w14:paraId="254DBACE" w14:textId="77777777" w:rsidR="00D240D3" w:rsidRPr="00D240D3" w:rsidRDefault="00D240D3" w:rsidP="00FA649A">
      <w:pPr>
        <w:spacing w:after="160" w:line="278" w:lineRule="auto"/>
        <w:jc w:val="both"/>
        <w:rPr>
          <w:lang w:val="sq-AL"/>
        </w:rPr>
      </w:pPr>
      <w:r w:rsidRPr="00D240D3">
        <w:rPr>
          <w:lang w:val="sq-AL"/>
        </w:rPr>
        <w:t xml:space="preserve">Në kuadër të kësaj thirrjeje, komunat mund të aplikojnë dhe do të mbështeten për të zbatuar projekte të përbashkëta të cilat do të fokusohen edhe në tema transferzale në lidhje me </w:t>
      </w:r>
      <w:r w:rsidRPr="00D240D3">
        <w:rPr>
          <w:b/>
          <w:lang w:val="sq-AL"/>
        </w:rPr>
        <w:t>barazinë gjinore</w:t>
      </w:r>
      <w:r w:rsidRPr="00D240D3">
        <w:rPr>
          <w:lang w:val="sq-AL"/>
        </w:rPr>
        <w:t xml:space="preserve"> dhe problemet e identifikuara në një mënyrë gjithëpërfshirëse dhe pjesëmarrëse. Fokus i veçantë do të vendoset te</w:t>
      </w:r>
      <w:r w:rsidRPr="00D240D3">
        <w:rPr>
          <w:b/>
          <w:lang w:val="sq-AL"/>
        </w:rPr>
        <w:t xml:space="preserve"> inovacionet në ofrimin e shërbimeve lokale në nivelin teknologjik</w:t>
      </w:r>
      <w:r w:rsidRPr="00D240D3">
        <w:rPr>
          <w:lang w:val="sq-AL"/>
        </w:rPr>
        <w:t xml:space="preserve">, që do të kontribuojnë në shfrytëzimin e mundësive të krijuara me </w:t>
      </w:r>
      <w:r w:rsidRPr="00D240D3">
        <w:rPr>
          <w:b/>
          <w:lang w:val="sq-AL"/>
        </w:rPr>
        <w:t>digjitalizimin</w:t>
      </w:r>
      <w:r w:rsidRPr="00D240D3">
        <w:rPr>
          <w:lang w:val="sq-AL"/>
        </w:rPr>
        <w:t xml:space="preserve"> dhe do të rrisin bashkëpunimin ndërkomunal dhe përfitimet e efikasitetit në një nivel më të lartë. Modelet e zhvilluara për bashkëpunimin ndërkomunal, në të ardhmen, do të jenë në gjendje të replikohen edhe në komunat e tjera të vendit.</w:t>
      </w:r>
    </w:p>
    <w:p w14:paraId="6972635D" w14:textId="77777777" w:rsidR="00D240D3" w:rsidRPr="00D240D3" w:rsidRDefault="00D240D3" w:rsidP="00FA649A">
      <w:pPr>
        <w:spacing w:after="160" w:line="278" w:lineRule="auto"/>
        <w:jc w:val="both"/>
        <w:rPr>
          <w:lang w:val="sq-AL"/>
        </w:rPr>
      </w:pPr>
      <w:r w:rsidRPr="00D240D3">
        <w:rPr>
          <w:lang w:val="sq-AL"/>
        </w:rPr>
        <w:t>Për më tepër, format inovative dhe tradicionale të bashkëpunimit ndërkomunal do të mbështeten edhe në fusha të tjera që janë në kompetencë të njësive të vetëqeverisjes lokale.</w:t>
      </w:r>
    </w:p>
    <w:p w14:paraId="645ACE1C" w14:textId="77777777" w:rsidR="00D240D3" w:rsidRPr="00D240D3" w:rsidRDefault="00D240D3" w:rsidP="003F7DDF">
      <w:pPr>
        <w:pStyle w:val="Heading2"/>
        <w:rPr>
          <w:lang w:val="sq-AL"/>
        </w:rPr>
      </w:pPr>
      <w:bookmarkStart w:id="2" w:name="_Toc228786294"/>
      <w:r w:rsidRPr="00D240D3">
        <w:rPr>
          <w:lang w:val="sq-AL"/>
        </w:rPr>
        <w:lastRenderedPageBreak/>
        <w:t>3. Informata për parashtruesit e aplikimit</w:t>
      </w:r>
      <w:bookmarkEnd w:id="2"/>
      <w:r w:rsidRPr="00D240D3">
        <w:rPr>
          <w:lang w:val="sq-AL"/>
        </w:rPr>
        <w:t xml:space="preserve"> </w:t>
      </w:r>
    </w:p>
    <w:p w14:paraId="0AA1F486" w14:textId="77777777" w:rsidR="00D240D3" w:rsidRPr="00D240D3" w:rsidRDefault="00D240D3" w:rsidP="00FA649A">
      <w:pPr>
        <w:spacing w:after="160" w:line="278" w:lineRule="auto"/>
        <w:jc w:val="both"/>
        <w:rPr>
          <w:lang w:val="sq-AL"/>
        </w:rPr>
      </w:pPr>
      <w:r w:rsidRPr="00D240D3">
        <w:rPr>
          <w:lang w:val="sq-AL"/>
        </w:rPr>
        <w:t>Aplikantët e pranueshëm për këtë thirrje janë njësitë e vetëqeverisjes lokale (komunat dhe Qyteti i Shkupit) në Republikën e Maqedonisë.</w:t>
      </w:r>
    </w:p>
    <w:p w14:paraId="022E5ED3" w14:textId="77777777" w:rsidR="00D240D3" w:rsidRPr="00D240D3" w:rsidRDefault="00D240D3" w:rsidP="003F7DDF">
      <w:pPr>
        <w:pStyle w:val="Heading2"/>
        <w:rPr>
          <w:lang w:val="sq-AL"/>
        </w:rPr>
      </w:pPr>
      <w:bookmarkStart w:id="3" w:name="_Toc228786295"/>
      <w:r w:rsidRPr="00D240D3">
        <w:rPr>
          <w:lang w:val="sq-AL"/>
        </w:rPr>
        <w:t>3.1 Çështje të tjera në lidhje me pranueshmërinë e aplikuesve</w:t>
      </w:r>
      <w:bookmarkEnd w:id="3"/>
    </w:p>
    <w:p w14:paraId="47F86339" w14:textId="7BAA54D1" w:rsidR="00D240D3" w:rsidRPr="00D240D3" w:rsidRDefault="00D240D3" w:rsidP="00D240D3">
      <w:pPr>
        <w:spacing w:after="160" w:line="278" w:lineRule="auto"/>
        <w:rPr>
          <w:lang w:val="sq-AL"/>
        </w:rPr>
      </w:pPr>
      <w:r w:rsidRPr="00D240D3">
        <w:rPr>
          <w:lang w:val="sq-AL"/>
        </w:rPr>
        <w:t>Në kuadër të Thirrjes së</w:t>
      </w:r>
      <w:r w:rsidR="00FA649A" w:rsidRPr="00FA649A">
        <w:rPr>
          <w:lang w:val="sq-AL"/>
        </w:rPr>
        <w:t xml:space="preserve"> </w:t>
      </w:r>
      <w:r w:rsidR="00FA649A" w:rsidRPr="00812984">
        <w:rPr>
          <w:lang w:val="sq-AL"/>
        </w:rPr>
        <w:t xml:space="preserve">Tretë </w:t>
      </w:r>
      <w:r w:rsidRPr="00812984">
        <w:rPr>
          <w:lang w:val="sq-AL"/>
        </w:rPr>
        <w:t xml:space="preserve">mund të marrin pjesë komunat të cilat nuk kanë qenë të financuara në kuadër të thirrjes së </w:t>
      </w:r>
      <w:r w:rsidR="00FA649A" w:rsidRPr="00812984">
        <w:rPr>
          <w:lang w:val="sq-AL"/>
        </w:rPr>
        <w:t>Parë dhe të Dytë</w:t>
      </w:r>
      <w:r w:rsidR="00FA649A">
        <w:rPr>
          <w:lang w:val="mk-MK"/>
        </w:rPr>
        <w:t xml:space="preserve"> </w:t>
      </w:r>
      <w:r w:rsidRPr="00D240D3">
        <w:rPr>
          <w:lang w:val="sq-AL"/>
        </w:rPr>
        <w:t xml:space="preserve">për bashkëpunim ndërkomunal.  </w:t>
      </w:r>
    </w:p>
    <w:p w14:paraId="5F7CEB4A" w14:textId="77777777" w:rsidR="00D240D3" w:rsidRPr="00D240D3" w:rsidRDefault="00D240D3" w:rsidP="00D240D3">
      <w:pPr>
        <w:spacing w:after="160" w:line="278" w:lineRule="auto"/>
        <w:rPr>
          <w:lang w:val="sq-AL"/>
        </w:rPr>
      </w:pPr>
      <w:r w:rsidRPr="00D240D3">
        <w:rPr>
          <w:lang w:val="sq-AL"/>
        </w:rPr>
        <w:t>Aplikacioni duhet të përfshijë të paktën dy komuna. Gjithmonë caktohet një komunë e cila do të jetë aplikuesi kryesor në mes të komunave (</w:t>
      </w:r>
      <w:r w:rsidRPr="00D240D3">
        <w:rPr>
          <w:i/>
          <w:iCs/>
          <w:lang w:val="sq-AL"/>
        </w:rPr>
        <w:t>the lead applicant</w:t>
      </w:r>
      <w:r w:rsidRPr="00D240D3">
        <w:rPr>
          <w:lang w:val="sq-AL"/>
        </w:rPr>
        <w:t xml:space="preserve">). Komuna që do të caktohet si aplikanti kryesor është përgjegjëse për koordinimin dhe drejtimin e projektit dhe komunikimin me UNDP. Nëse zgjidhet një projekt, të gjitha komunat e përfshira nënshkruajnë një Marrëveshje Bashkëpunimi me zyrën e UNDP. </w:t>
      </w:r>
    </w:p>
    <w:p w14:paraId="0C49ED20" w14:textId="77777777" w:rsidR="00D240D3" w:rsidRPr="00D240D3" w:rsidRDefault="00D240D3" w:rsidP="00D240D3">
      <w:pPr>
        <w:spacing w:after="160" w:line="278" w:lineRule="auto"/>
        <w:rPr>
          <w:lang w:val="sq-AL"/>
        </w:rPr>
      </w:pPr>
      <w:r w:rsidRPr="00D240D3">
        <w:rPr>
          <w:lang w:val="sq-AL"/>
        </w:rPr>
        <w:t>Një komunë mund të marrë pjesë në vetëm një projekt. Nëse komuna si bartëse aplikon për pjesëmarrje në më shumë se një projekt, të njëjtat projekte do të përjashtohen automatikisht nga procesi i përzgjedhjes.</w:t>
      </w:r>
    </w:p>
    <w:p w14:paraId="0B1AAAE9" w14:textId="77777777" w:rsidR="00D240D3" w:rsidRPr="00D240D3" w:rsidRDefault="00D240D3" w:rsidP="00D240D3">
      <w:pPr>
        <w:spacing w:after="160" w:line="278" w:lineRule="auto"/>
        <w:rPr>
          <w:lang w:val="sq-AL"/>
        </w:rPr>
      </w:pPr>
      <w:r w:rsidRPr="00D240D3">
        <w:rPr>
          <w:lang w:val="sq-AL"/>
        </w:rPr>
        <w:t xml:space="preserve">Komuna mund të paraqitet si partnere në më së shumti dy aplikime. </w:t>
      </w:r>
    </w:p>
    <w:p w14:paraId="4C70FDD8" w14:textId="77777777" w:rsidR="00D240D3" w:rsidRPr="00D240D3" w:rsidRDefault="00D240D3" w:rsidP="00D240D3">
      <w:pPr>
        <w:spacing w:after="160" w:line="278" w:lineRule="auto"/>
        <w:rPr>
          <w:lang w:val="sq-AL"/>
        </w:rPr>
      </w:pPr>
      <w:r w:rsidRPr="00D240D3">
        <w:rPr>
          <w:lang w:val="sq-AL"/>
        </w:rPr>
        <w:t xml:space="preserve"> Qyteti i Shkupit si njësi e veçantë e vetëqeverisjes lokale në rolin e aplikuesit kryesor mund të aplikojë vetëm me një propozim. Për më tepër, Qyteti i Shkupit mund të aplikojë si partner i secilës prej komunave me seli në qytetin e Shkupit.</w:t>
      </w:r>
    </w:p>
    <w:p w14:paraId="25C72701" w14:textId="77777777" w:rsidR="00D240D3" w:rsidRPr="00D240D3" w:rsidRDefault="00D240D3" w:rsidP="003F7DDF">
      <w:pPr>
        <w:pStyle w:val="Heading2"/>
        <w:rPr>
          <w:lang w:val="sq-AL"/>
        </w:rPr>
      </w:pPr>
      <w:bookmarkStart w:id="4" w:name="_Toc228786296"/>
      <w:r w:rsidRPr="00D240D3">
        <w:rPr>
          <w:lang w:val="sq-AL"/>
        </w:rPr>
        <w:t>3.2. Kush nuk mund të parashtrojë kërkesë</w:t>
      </w:r>
      <w:bookmarkEnd w:id="4"/>
      <w:r w:rsidRPr="00D240D3">
        <w:rPr>
          <w:lang w:val="sq-AL"/>
        </w:rPr>
        <w:t xml:space="preserve"> </w:t>
      </w:r>
    </w:p>
    <w:p w14:paraId="249D7698" w14:textId="77777777" w:rsidR="00D240D3" w:rsidRPr="00D240D3" w:rsidRDefault="00D240D3" w:rsidP="003F7DDF">
      <w:pPr>
        <w:spacing w:after="160" w:line="278" w:lineRule="auto"/>
        <w:jc w:val="both"/>
        <w:rPr>
          <w:lang w:val="sq-AL"/>
        </w:rPr>
      </w:pPr>
      <w:r w:rsidRPr="00D240D3">
        <w:rPr>
          <w:lang w:val="sq-AL"/>
        </w:rPr>
        <w:t>Qëllimi themelor i projektit është të nxisë bashkëpunimin ndërkomunal, për këtë shkak komunat të cilat kanë lidhur kontratë për bashkëpunim ndërkomunal në kuadër të Thirrjes së parë, pa marrë parasysh se a kanë qenë aplikuesi kryesor apo partnerë, nuk mund të marrin pjesë në Thirrjen e dytë as si aplikues kryesorë e as si partnerë të propozim projekteve.</w:t>
      </w:r>
    </w:p>
    <w:p w14:paraId="476D393D" w14:textId="364A4B66" w:rsidR="00D240D3" w:rsidRPr="00D240D3" w:rsidRDefault="00D240D3" w:rsidP="003F7DDF">
      <w:pPr>
        <w:spacing w:after="160" w:line="278" w:lineRule="auto"/>
        <w:jc w:val="both"/>
        <w:rPr>
          <w:b/>
          <w:bCs/>
          <w:lang w:val="sq-AL"/>
        </w:rPr>
      </w:pPr>
      <w:r w:rsidRPr="00D240D3">
        <w:rPr>
          <w:b/>
          <w:bCs/>
          <w:lang w:val="sq-AL"/>
        </w:rPr>
        <w:t xml:space="preserve">Komunat Kriva Pallanka, Rankovcë, Përlep, Dollnen, Strugë, Vevçanë, Vallandovë, Dojran, Kavadarë, Negotinë, Sveti Nikollë, Llozovë, Radovish, Konçe, Veles, Gradsko, Demir Kapi, Rosoman, Shtip, Berovë, Vinicë, Dellçevë, Zrnovc, Karbincë, Koçan, Kamenicë, Pehçevë, Probishtip, Çeshinovë Obleshevë, Kërçovë dhe Makedonski Brod, Strumicë, Vasilevë </w:t>
      </w:r>
      <w:r w:rsidR="00FA649A" w:rsidRPr="00FA649A">
        <w:rPr>
          <w:b/>
          <w:bCs/>
          <w:lang w:val="sq-AL"/>
        </w:rPr>
        <w:t xml:space="preserve">Bosilovë, </w:t>
      </w:r>
      <w:r w:rsidR="00FA649A" w:rsidRPr="00812984">
        <w:rPr>
          <w:b/>
          <w:bCs/>
          <w:lang w:val="sq-AL"/>
        </w:rPr>
        <w:t>Novo Sello, Gjevgjeli, Bogdanci, Ohër, Manastir dhe Resnjë u financuan në kuadër të Thirrjes së Parë dhe të Dytë.</w:t>
      </w:r>
    </w:p>
    <w:p w14:paraId="4439AC08" w14:textId="77777777" w:rsidR="00D240D3" w:rsidRPr="00D240D3" w:rsidRDefault="00D240D3" w:rsidP="003F7DDF">
      <w:pPr>
        <w:pStyle w:val="Heading2"/>
        <w:rPr>
          <w:lang w:val="sq-AL"/>
        </w:rPr>
      </w:pPr>
      <w:bookmarkStart w:id="5" w:name="_Toc228786297"/>
      <w:r w:rsidRPr="00D240D3">
        <w:rPr>
          <w:lang w:val="sq-AL"/>
        </w:rPr>
        <w:t>3.3. Pyetje të tjera</w:t>
      </w:r>
      <w:bookmarkEnd w:id="5"/>
      <w:r w:rsidRPr="00D240D3">
        <w:rPr>
          <w:lang w:val="sq-AL"/>
        </w:rPr>
        <w:t xml:space="preserve"> </w:t>
      </w:r>
    </w:p>
    <w:p w14:paraId="7DB4A00A" w14:textId="77777777" w:rsidR="00D240D3" w:rsidRPr="00D240D3" w:rsidRDefault="00D240D3" w:rsidP="00D240D3">
      <w:pPr>
        <w:spacing w:after="160" w:line="278" w:lineRule="auto"/>
        <w:rPr>
          <w:lang w:val="sq-AL"/>
        </w:rPr>
      </w:pPr>
      <w:r w:rsidRPr="00D240D3">
        <w:rPr>
          <w:b/>
          <w:lang w:val="sq-AL"/>
        </w:rPr>
        <w:t>Qendrat për zhvillimin e rajoneve planore</w:t>
      </w:r>
      <w:r w:rsidRPr="00D240D3">
        <w:rPr>
          <w:lang w:val="sq-AL"/>
        </w:rPr>
        <w:t xml:space="preserve"> mund të marrin pjesë në aplikacionin e projektit, por nuk mund të emërohen si aplikues kryesorë ose partnerë në bashkëpunimin ndërkomunal. Qendrat për zhvillimin e rajoneve planore mund të kenë një rol koordinues dhe/ose të mbështesin zbatimin e projektit. Roli i Qendrave për zhvillimin e rajoneve planore duhet të përcaktohet qartë në aplikacionin e projektit. Qendrat për zhvillimin e rajoneve planore mund të marrin pjesë në më shumë se një aplikim. </w:t>
      </w:r>
    </w:p>
    <w:p w14:paraId="02063476" w14:textId="77777777" w:rsidR="00D240D3" w:rsidRPr="00D240D3" w:rsidRDefault="00D240D3" w:rsidP="00FA649A">
      <w:pPr>
        <w:spacing w:after="160" w:line="278" w:lineRule="auto"/>
        <w:jc w:val="both"/>
        <w:rPr>
          <w:lang w:val="sq-AL"/>
        </w:rPr>
      </w:pPr>
      <w:r w:rsidRPr="00D240D3">
        <w:rPr>
          <w:lang w:val="sq-AL"/>
        </w:rPr>
        <w:t xml:space="preserve">Në realizimin e aktiviteteve të parashikuara në kuadër të bashkëpunimit, mund të përfshihen </w:t>
      </w:r>
      <w:r w:rsidRPr="00D240D3">
        <w:rPr>
          <w:b/>
          <w:lang w:val="sq-AL"/>
        </w:rPr>
        <w:t>organizatat e shoqërisë civile</w:t>
      </w:r>
      <w:r w:rsidRPr="00D240D3">
        <w:rPr>
          <w:lang w:val="sq-AL"/>
        </w:rPr>
        <w:t xml:space="preserve"> aktive në fushën në të cilën komunat vendosin bashkëpunimin ndërkomunal. Organizatat e </w:t>
      </w:r>
      <w:r w:rsidRPr="00D240D3">
        <w:rPr>
          <w:lang w:val="sq-AL"/>
        </w:rPr>
        <w:lastRenderedPageBreak/>
        <w:t xml:space="preserve">shoqërisë civile mund të kenë një rol koordinues dhe/ose të mbështesin projektin, respektivisht, mund të angazhohen në ofrimin e shërbimeve që janë në kompetencë të komunave që e vendosin bashkëpunimin ndërkomunal. Roli i organizatave të shoqërisë civile duhet të përcaktohet qartë në aplikacionin e projektit. Organizatat e shoqërisë civile mund të marrin pjesë në jo më shumë se </w:t>
      </w:r>
      <w:r w:rsidRPr="00D240D3">
        <w:rPr>
          <w:b/>
          <w:lang w:val="sq-AL"/>
        </w:rPr>
        <w:t>një</w:t>
      </w:r>
      <w:r w:rsidRPr="00D240D3">
        <w:rPr>
          <w:lang w:val="sq-AL"/>
        </w:rPr>
        <w:t xml:space="preserve"> aplikacion. Organizatat e shoqërisë civile nuk mund të jenë aplikuesi kryesor e as të jenë partner kyç në aplikimin.</w:t>
      </w:r>
    </w:p>
    <w:p w14:paraId="6DA21EC6" w14:textId="77777777" w:rsidR="00D240D3" w:rsidRPr="00D240D3" w:rsidRDefault="00D240D3" w:rsidP="00FA649A">
      <w:pPr>
        <w:spacing w:after="160" w:line="278" w:lineRule="auto"/>
        <w:jc w:val="both"/>
        <w:rPr>
          <w:lang w:val="sq-AL"/>
        </w:rPr>
      </w:pPr>
      <w:r w:rsidRPr="00D240D3">
        <w:rPr>
          <w:lang w:val="sq-AL"/>
        </w:rPr>
        <w:t xml:space="preserve">Të gjitha aplikacionet duhet të përmbajnë Deklaratë për partneritet të nënshkruar nga kryetarët e komunave dhe kryetarët e këshillave të të gjitha komunave të përfshira në BNK (Shtojca 1 e aplikimit). Nëse projekti zgjidhet për financim, me këtë deklaratë për partneritet, nënshkruesit në fjalë deklarojnë se në rast të një propozimi për krijimin e një prej formave të BNK-së nga neni 9 i Ligjit të BNK, e njëjta do të vendoset formalisht në përputhje me Ligjin për bashkëpunim ndërkomunal (neni 4 deri 8). </w:t>
      </w:r>
    </w:p>
    <w:p w14:paraId="70B02BF7" w14:textId="77777777" w:rsidR="00D240D3" w:rsidRPr="00D240D3" w:rsidRDefault="00D240D3" w:rsidP="00FA649A">
      <w:pPr>
        <w:spacing w:after="160" w:line="278" w:lineRule="auto"/>
        <w:jc w:val="both"/>
        <w:rPr>
          <w:b/>
          <w:bCs/>
          <w:lang w:val="sq-AL"/>
        </w:rPr>
      </w:pPr>
      <w:r w:rsidRPr="00D240D3">
        <w:rPr>
          <w:lang w:val="sq-AL"/>
        </w:rPr>
        <w:t>Për më tepër, në shtojcë të aplikacionit shtohet edhe Letra për obligim (Shtojca 2 e aplikimit) e nënshkruar nga kryetarët e komunave dhe Kryetarët e këshillave të komunave të të gjitha komunave të përfshira në BNK. Në rast të përfshirjes së Qendrave për zhvillim të rajoneve planore dhe/ose organizatave të shoqërisë civile, një Letër për obligim duhet të nënshkruhet nga kryetari i Këshillit të rajonit planor ose Kryetarit të organizatës së shoqërisë civile.</w:t>
      </w:r>
    </w:p>
    <w:p w14:paraId="319392C0" w14:textId="77777777" w:rsidR="00D240D3" w:rsidRPr="00FA649A" w:rsidRDefault="00D240D3" w:rsidP="003F7DDF">
      <w:pPr>
        <w:pStyle w:val="Heading2"/>
        <w:rPr>
          <w:lang w:val="sq-AL"/>
        </w:rPr>
      </w:pPr>
      <w:bookmarkStart w:id="6" w:name="_Toc228786298"/>
      <w:r w:rsidRPr="00FA649A">
        <w:rPr>
          <w:lang w:val="sq-AL"/>
        </w:rPr>
        <w:t>4. Kohëzgjatja e projektit</w:t>
      </w:r>
      <w:bookmarkEnd w:id="6"/>
    </w:p>
    <w:p w14:paraId="05719882" w14:textId="77777777" w:rsidR="00D240D3" w:rsidRPr="00D240D3" w:rsidRDefault="00D240D3" w:rsidP="00D240D3">
      <w:pPr>
        <w:spacing w:after="160" w:line="278" w:lineRule="auto"/>
        <w:rPr>
          <w:bCs/>
          <w:lang w:val="sq-AL"/>
        </w:rPr>
      </w:pPr>
      <w:bookmarkStart w:id="7" w:name="_Hlk77006331"/>
      <w:r w:rsidRPr="00D240D3">
        <w:rPr>
          <w:lang w:val="sq-AL"/>
        </w:rPr>
        <w:t xml:space="preserve">Kohëzgjatja për të cilën projekti “Komunat si shtytës të zhvillimit të qëndrueshëm” do të mbështesë komunat në vendosjen dhe funksionalizimin e bashkëpunimit ndërkomunal brenda kësaj thirrjeje është </w:t>
      </w:r>
      <w:r w:rsidRPr="00D240D3">
        <w:rPr>
          <w:b/>
          <w:lang w:val="sq-AL"/>
        </w:rPr>
        <w:t>8 (tetë) muaj</w:t>
      </w:r>
      <w:r w:rsidRPr="00D240D3">
        <w:rPr>
          <w:lang w:val="sq-AL"/>
        </w:rPr>
        <w:t>. Pritet që partneritetet e krijuara midis komunave të zgjasin edhe pas përfundimit të mbështetjes së projektit, për të cilën partneritetet më afatgjate do të vlerësohen me një numër më të lartë pikësh në procesin e evaluimit dhe përzgjedhjes.</w:t>
      </w:r>
    </w:p>
    <w:p w14:paraId="71F47503" w14:textId="77777777" w:rsidR="00D240D3" w:rsidRPr="00FA649A" w:rsidRDefault="00D240D3" w:rsidP="003F7DDF">
      <w:pPr>
        <w:pStyle w:val="Heading2"/>
        <w:rPr>
          <w:lang w:val="sq-AL"/>
        </w:rPr>
      </w:pPr>
      <w:bookmarkStart w:id="8" w:name="_Toc228786299"/>
      <w:bookmarkEnd w:id="7"/>
      <w:r w:rsidRPr="00FA649A">
        <w:rPr>
          <w:lang w:val="sq-AL"/>
        </w:rPr>
        <w:t>5. Mjetet e disponueshme në kuadër të thirrjes</w:t>
      </w:r>
      <w:bookmarkEnd w:id="8"/>
      <w:r w:rsidRPr="00FA649A">
        <w:rPr>
          <w:lang w:val="sq-AL"/>
        </w:rPr>
        <w:t xml:space="preserve">  </w:t>
      </w:r>
    </w:p>
    <w:p w14:paraId="29611565" w14:textId="10CB387F" w:rsidR="00D240D3" w:rsidRPr="00D240D3" w:rsidRDefault="00D240D3" w:rsidP="00D240D3">
      <w:pPr>
        <w:spacing w:after="160" w:line="278" w:lineRule="auto"/>
        <w:rPr>
          <w:lang w:val="sq-AL"/>
        </w:rPr>
      </w:pPr>
      <w:bookmarkStart w:id="9" w:name="_Hlk77006557"/>
      <w:r w:rsidRPr="00D240D3">
        <w:rPr>
          <w:lang w:val="sq-AL"/>
        </w:rPr>
        <w:t xml:space="preserve">Shuma totale për këtë thirrje  është </w:t>
      </w:r>
      <w:r w:rsidRPr="00D240D3">
        <w:rPr>
          <w:b/>
          <w:bCs/>
          <w:u w:val="single"/>
          <w:lang w:val="sq-AL"/>
        </w:rPr>
        <w:t>1</w:t>
      </w:r>
      <w:r w:rsidR="00FA649A">
        <w:rPr>
          <w:b/>
          <w:bCs/>
          <w:u w:val="single"/>
          <w:lang w:val="mk-MK"/>
        </w:rPr>
        <w:t>6</w:t>
      </w:r>
      <w:r w:rsidRPr="00D240D3">
        <w:rPr>
          <w:b/>
          <w:bCs/>
          <w:u w:val="single"/>
          <w:lang w:val="sq-AL"/>
        </w:rPr>
        <w:t>0.000 USD</w:t>
      </w:r>
      <w:r w:rsidRPr="00D240D3">
        <w:rPr>
          <w:lang w:val="sq-AL"/>
        </w:rPr>
        <w:t xml:space="preserve">. Mjetet janë siguruar nga ana e Byrosë për zhvillim rajonal dhe UNDP. </w:t>
      </w:r>
    </w:p>
    <w:p w14:paraId="6EF5AD04" w14:textId="77777777" w:rsidR="00D240D3" w:rsidRPr="00D240D3" w:rsidRDefault="00D240D3" w:rsidP="00D240D3">
      <w:pPr>
        <w:spacing w:after="160" w:line="278" w:lineRule="auto"/>
        <w:rPr>
          <w:b/>
          <w:bCs/>
          <w:lang w:val="sq-AL"/>
        </w:rPr>
      </w:pPr>
      <w:r w:rsidRPr="00D240D3">
        <w:rPr>
          <w:b/>
          <w:bCs/>
          <w:lang w:val="sq-AL"/>
        </w:rPr>
        <w:t xml:space="preserve">NJVL-të e interesuara mund të parashtrojnë një aplikacion deri në më së shumti 30.000 USD. </w:t>
      </w:r>
    </w:p>
    <w:p w14:paraId="06C384D9" w14:textId="77777777" w:rsidR="00D240D3" w:rsidRPr="00D240D3" w:rsidRDefault="00D240D3" w:rsidP="00D240D3">
      <w:pPr>
        <w:spacing w:after="160" w:line="278" w:lineRule="auto"/>
        <w:rPr>
          <w:lang w:val="sq-AL"/>
        </w:rPr>
      </w:pPr>
      <w:r w:rsidRPr="00D240D3">
        <w:rPr>
          <w:lang w:val="sq-AL"/>
        </w:rPr>
        <w:t xml:space="preserve">Buxheti i projekteve është i ndarë në dy pjesë: financim nga UNDP dhe kofinancim nga komunat. </w:t>
      </w:r>
    </w:p>
    <w:p w14:paraId="54EC42F3" w14:textId="77777777" w:rsidR="00D240D3" w:rsidRPr="00FA649A" w:rsidRDefault="00D240D3" w:rsidP="003F7DDF">
      <w:pPr>
        <w:pStyle w:val="Heading2"/>
        <w:rPr>
          <w:lang w:val="sq-AL"/>
        </w:rPr>
      </w:pPr>
      <w:bookmarkStart w:id="10" w:name="_Toc228786300"/>
      <w:r w:rsidRPr="00FA649A">
        <w:rPr>
          <w:lang w:val="sq-AL"/>
        </w:rPr>
        <w:t>5.1 Kofinansimi</w:t>
      </w:r>
      <w:bookmarkEnd w:id="10"/>
      <w:r w:rsidRPr="00FA649A">
        <w:rPr>
          <w:lang w:val="sq-AL"/>
        </w:rPr>
        <w:t xml:space="preserve"> </w:t>
      </w:r>
    </w:p>
    <w:p w14:paraId="74218540" w14:textId="77777777" w:rsidR="00D240D3" w:rsidRPr="00D240D3" w:rsidRDefault="00D240D3" w:rsidP="00D240D3">
      <w:pPr>
        <w:spacing w:after="160" w:line="278" w:lineRule="auto"/>
        <w:rPr>
          <w:b/>
          <w:bCs/>
          <w:lang w:val="sq-AL"/>
        </w:rPr>
      </w:pPr>
      <w:r w:rsidRPr="00D240D3">
        <w:rPr>
          <w:b/>
          <w:bCs/>
          <w:lang w:val="sq-AL"/>
        </w:rPr>
        <w:t xml:space="preserve">Kofinancimi nga ana e aplikuesve (NJVL) është i detyrueshëm. </w:t>
      </w:r>
    </w:p>
    <w:p w14:paraId="73B2CDBB" w14:textId="77777777" w:rsidR="00D240D3" w:rsidRPr="00D240D3" w:rsidRDefault="00D240D3" w:rsidP="00FA649A">
      <w:pPr>
        <w:spacing w:after="160" w:line="278" w:lineRule="auto"/>
        <w:jc w:val="both"/>
        <w:rPr>
          <w:lang w:val="sq-AL"/>
        </w:rPr>
      </w:pPr>
      <w:r w:rsidRPr="00D240D3">
        <w:rPr>
          <w:lang w:val="sq-AL"/>
        </w:rPr>
        <w:t>Shuma maksimale e financimit për projekt nga ana e UNDP është 30.000 USD. Me qëllim të sigurimit të një përfshirjeje më të madhe, parashikohet kofinancim nga ana e komunave në lartësi prej më së paku 20% për aplikacion nga shuma e kërkuar.  (Përderisa shuma e kërkuar nga UNDP është 30.000 USD komunat do të duhet të kofinancojnë së paku 6.000 USD).</w:t>
      </w:r>
    </w:p>
    <w:p w14:paraId="2D8B7EEA" w14:textId="77777777" w:rsidR="00D240D3" w:rsidRPr="00D240D3" w:rsidRDefault="00D240D3" w:rsidP="00FA649A">
      <w:pPr>
        <w:spacing w:after="160" w:line="278" w:lineRule="auto"/>
        <w:jc w:val="both"/>
        <w:rPr>
          <w:lang w:val="sq-AL"/>
        </w:rPr>
      </w:pPr>
      <w:r w:rsidRPr="00D240D3">
        <w:rPr>
          <w:lang w:val="sq-AL"/>
        </w:rPr>
        <w:t xml:space="preserve">UNDP do të menaxhojë me mjetet për aktivitetet e përbashkëta të projektit dhe do të kryejë një prokurim të veçantë për ato aktivitete. Ndërsa komunat do të administrojnë dhe harxhojnë mjetet vetanake të kofinancimit, </w:t>
      </w:r>
      <w:r w:rsidRPr="00D240D3">
        <w:rPr>
          <w:lang w:val="sq-AL"/>
        </w:rPr>
        <w:lastRenderedPageBreak/>
        <w:t>duke shpallur prokurime të veçanta për aktivitetet e parashikuara në projekt. Të gjitha aktivitetet dhe fondet për kofinancim nga komunat duhet të deklarohen qartë në aplikimin e projektit.</w:t>
      </w:r>
    </w:p>
    <w:p w14:paraId="5481F8AE" w14:textId="77777777" w:rsidR="00D240D3" w:rsidRPr="00D240D3" w:rsidRDefault="00D240D3" w:rsidP="00FA649A">
      <w:pPr>
        <w:spacing w:after="160" w:line="278" w:lineRule="auto"/>
        <w:jc w:val="both"/>
        <w:rPr>
          <w:lang w:val="sq-AL"/>
        </w:rPr>
      </w:pPr>
      <w:r w:rsidRPr="00D240D3">
        <w:rPr>
          <w:lang w:val="sq-AL"/>
        </w:rPr>
        <w:t>Nëse komuna vendos të kofinancojë me të mira dhe shërbime (</w:t>
      </w:r>
      <w:r w:rsidRPr="00D240D3">
        <w:rPr>
          <w:b/>
          <w:i/>
          <w:lang w:val="sq-AL"/>
        </w:rPr>
        <w:t>pjesëmarrje në natyrë</w:t>
      </w:r>
      <w:r w:rsidRPr="00D240D3">
        <w:rPr>
          <w:lang w:val="sq-AL"/>
        </w:rPr>
        <w:t xml:space="preserve"> -</w:t>
      </w:r>
      <w:r w:rsidRPr="00D240D3">
        <w:rPr>
          <w:b/>
          <w:bCs/>
          <w:i/>
          <w:iCs/>
          <w:lang w:val="sq-AL"/>
        </w:rPr>
        <w:t>in-kind</w:t>
      </w:r>
      <w:r w:rsidRPr="00D240D3">
        <w:rPr>
          <w:lang w:val="sq-AL"/>
        </w:rPr>
        <w:t>) kjo do të pranohet si e tillë, mirëpo kjo nuk do ta zëvendësojë detyrimin për pjesëmarrje financiare ndërsa gjatë vlerësimit nuk do të hyjë në shumën totale të kofinancimit.</w:t>
      </w:r>
    </w:p>
    <w:p w14:paraId="6C7593AF" w14:textId="77777777" w:rsidR="00D240D3" w:rsidRPr="00D240D3" w:rsidRDefault="00D240D3" w:rsidP="00FA649A">
      <w:pPr>
        <w:spacing w:after="160" w:line="278" w:lineRule="auto"/>
        <w:jc w:val="both"/>
        <w:rPr>
          <w:lang w:val="sq-AL"/>
        </w:rPr>
      </w:pPr>
      <w:r w:rsidRPr="00D240D3">
        <w:rPr>
          <w:lang w:val="sq-AL"/>
        </w:rPr>
        <w:t>Qendrat për Zhvillim Rajonal, Shoqatat Qytetare dhe subjektet e tjera të pranueshme që paraqiten si partnerë të projektit nuk janë të detyruara të marrin pjesë në kofinancim. Qendrat për zhvillim të rajoneve planore mund të marrin pjesë në kofinancim në mallra dhe shërbime-në natyrë (in-kind). Kofinancimi në mallra dhe shërbime mund të jetë në formën e pagave të punëtorëve (të përfshirë në zbatimin e projektit), qirasë së hapësirave të përdorura për këtë projekt dhe shpenzimeve të përgjithshme (energji elektrike, ujë, shërbime telekomunikacioni, ngrohje, etj.).</w:t>
      </w:r>
    </w:p>
    <w:p w14:paraId="75AFA232" w14:textId="77777777" w:rsidR="00D240D3" w:rsidRPr="00D240D3" w:rsidRDefault="00D240D3" w:rsidP="00D240D3">
      <w:pPr>
        <w:spacing w:after="160" w:line="278" w:lineRule="auto"/>
        <w:rPr>
          <w:b/>
          <w:lang w:val="sq-AL"/>
        </w:rPr>
      </w:pPr>
      <w:r w:rsidRPr="00D240D3">
        <w:rPr>
          <w:b/>
          <w:lang w:val="sq-AL"/>
        </w:rPr>
        <w:t>Gjatë vlerësimit të projekteve, do të vlerësohet vetëm kofinancimi në para të gatshme.</w:t>
      </w:r>
    </w:p>
    <w:p w14:paraId="6D254FDB" w14:textId="77777777" w:rsidR="00D240D3" w:rsidRPr="00FA649A" w:rsidRDefault="00D240D3" w:rsidP="003F7DDF">
      <w:pPr>
        <w:pStyle w:val="Heading2"/>
        <w:rPr>
          <w:lang w:val="sq-AL"/>
        </w:rPr>
      </w:pPr>
      <w:bookmarkStart w:id="11" w:name="_Toc228786301"/>
      <w:r w:rsidRPr="00FA649A">
        <w:rPr>
          <w:lang w:val="sq-AL"/>
        </w:rPr>
        <w:t>5.2 Dallimi në çmimet për prokurim të mallrave dhe shërbimeve</w:t>
      </w:r>
      <w:bookmarkEnd w:id="11"/>
      <w:r w:rsidRPr="00FA649A">
        <w:rPr>
          <w:lang w:val="sq-AL"/>
        </w:rPr>
        <w:t xml:space="preserve"> </w:t>
      </w:r>
    </w:p>
    <w:p w14:paraId="7598886A" w14:textId="77777777" w:rsidR="00D240D3" w:rsidRPr="00D240D3" w:rsidRDefault="00D240D3" w:rsidP="00FA649A">
      <w:pPr>
        <w:spacing w:before="0" w:after="0" w:line="278" w:lineRule="auto"/>
        <w:jc w:val="both"/>
        <w:rPr>
          <w:lang w:val="sq-AL"/>
        </w:rPr>
      </w:pPr>
      <w:r w:rsidRPr="00D240D3">
        <w:rPr>
          <w:lang w:val="sq-AL"/>
        </w:rPr>
        <w:t>Në rast të paraqitjes së dallimeve në çmimet për prokurim të mallrave dhe shërbimeve gjatë zbatimit të procedurës për prokurime, të cilat tejkalojnë shumat e parapara të përgjithshme të mjeteve buxhetore të projektit, komuna merr përsipër që të mbulojë këto dallime nga buxheti i saj, buxheti i partnerëve apo burime të tjera të financimit. Në rastin kur komuna nuk është në gjendje të sigurojë apo t’i mbulojë mjetet të cilat e tejkalojnë fondin e projektit, komuna merr përsipër të zvogëlojë sasinë e njësive apo aktiviteteve të caktuara të projektit, përderisa ndryshimet dhe plotësimet e propozuara nuk ndikojnë ndjeshëm në tërësinë dhe funksionalitetin e projektit të propozuar.</w:t>
      </w:r>
    </w:p>
    <w:p w14:paraId="2388C60B" w14:textId="77777777" w:rsidR="00D240D3" w:rsidRPr="00D240D3" w:rsidRDefault="00D240D3" w:rsidP="00FA649A">
      <w:pPr>
        <w:spacing w:before="0" w:after="0" w:line="278" w:lineRule="auto"/>
        <w:jc w:val="both"/>
        <w:rPr>
          <w:lang w:val="sq-AL"/>
        </w:rPr>
      </w:pPr>
      <w:r w:rsidRPr="00D240D3">
        <w:rPr>
          <w:lang w:val="sq-AL"/>
        </w:rPr>
        <w:t>Për çdo ndryshim dhe plotësim eventual në planin financiar të projektit, pra zvogëlimin ose rritjen e disa zërave ose aktiviteteve të parashikuara në të, komuna duhet t'i paraqesë një Kërkesë UNDP-së me një propozim për ndryshim ose plotësim. Ndryshimet dhe plotësimet e propozuara në përputhje me kërkesën miratohen nga ana e UNDP-së.</w:t>
      </w:r>
    </w:p>
    <w:p w14:paraId="2B05BFAA" w14:textId="77777777" w:rsidR="00D240D3" w:rsidRPr="00D240D3" w:rsidRDefault="00D240D3" w:rsidP="00FA649A">
      <w:pPr>
        <w:spacing w:before="0" w:after="0" w:line="278" w:lineRule="auto"/>
        <w:rPr>
          <w:lang w:val="sq-AL"/>
        </w:rPr>
      </w:pPr>
      <w:r w:rsidRPr="00D240D3">
        <w:rPr>
          <w:lang w:val="sq-AL"/>
        </w:rPr>
        <w:t>Harxhimet që tejkalojnë shumën e parashikuar të fondit të projektit prej 30,000 USD në asnjë rast nuk do të mbulohen nga projekti "Komunat si shtytës të zhvillimit të qëndrueshëm".</w:t>
      </w:r>
    </w:p>
    <w:p w14:paraId="1696B0C1" w14:textId="77777777" w:rsidR="00D240D3" w:rsidRPr="00FA649A" w:rsidRDefault="00D240D3" w:rsidP="003F7DDF">
      <w:pPr>
        <w:pStyle w:val="Heading2"/>
        <w:rPr>
          <w:lang w:val="sq-AL"/>
        </w:rPr>
      </w:pPr>
      <w:bookmarkStart w:id="12" w:name="_Toc228786302"/>
      <w:bookmarkEnd w:id="9"/>
      <w:r w:rsidRPr="00FA649A">
        <w:rPr>
          <w:lang w:val="sq-AL"/>
        </w:rPr>
        <w:t>6. Cila është korniza kohore për thirrjen?</w:t>
      </w:r>
      <w:bookmarkEnd w:id="12"/>
      <w:r w:rsidRPr="00FA649A">
        <w:rPr>
          <w:lang w:val="sq-AL"/>
        </w:rPr>
        <w:t xml:space="preserve"> </w:t>
      </w:r>
    </w:p>
    <w:p w14:paraId="2E07A758" w14:textId="64CA12F2" w:rsidR="00D240D3" w:rsidRPr="00D240D3" w:rsidRDefault="00D240D3" w:rsidP="00D240D3">
      <w:pPr>
        <w:spacing w:after="160" w:line="278" w:lineRule="auto"/>
        <w:rPr>
          <w:lang w:val="sq-AL"/>
        </w:rPr>
      </w:pPr>
      <w:r w:rsidRPr="00D240D3">
        <w:rPr>
          <w:lang w:val="sq-AL"/>
        </w:rPr>
        <w:t>Tabela në vijim jep një pasqyrë të orarit për zbatimin e granteve të projekteve për vitin 202</w:t>
      </w:r>
      <w:r w:rsidR="00FA649A">
        <w:rPr>
          <w:lang w:val="mk-MK"/>
        </w:rPr>
        <w:t>6</w:t>
      </w:r>
      <w:r w:rsidRPr="00D240D3">
        <w:rPr>
          <w:lang w:val="sq-AL"/>
        </w:rPr>
        <w:t xml:space="preserve"> - 202</w:t>
      </w:r>
      <w:r w:rsidR="00FA649A">
        <w:rPr>
          <w:lang w:val="mk-MK"/>
        </w:rPr>
        <w:t>7</w:t>
      </w:r>
      <w:r w:rsidRPr="00D240D3">
        <w:rPr>
          <w:lang w:val="sq-AL"/>
        </w:rPr>
        <w:t>.</w:t>
      </w:r>
    </w:p>
    <w:tbl>
      <w:tblPr>
        <w:tblW w:w="10245"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570"/>
        <w:gridCol w:w="6975"/>
        <w:gridCol w:w="2700"/>
      </w:tblGrid>
      <w:tr w:rsidR="00D240D3" w:rsidRPr="00D240D3" w14:paraId="7A9E74EB" w14:textId="77777777">
        <w:tc>
          <w:tcPr>
            <w:tcW w:w="570" w:type="dxa"/>
            <w:tcBorders>
              <w:top w:val="single" w:sz="12" w:space="0" w:color="000000"/>
              <w:left w:val="single" w:sz="12" w:space="0" w:color="000000"/>
              <w:bottom w:val="single" w:sz="12" w:space="0" w:color="000000"/>
              <w:right w:val="nil"/>
            </w:tcBorders>
            <w:shd w:val="solid" w:color="808080" w:fill="FFFFFF"/>
            <w:hideMark/>
          </w:tcPr>
          <w:p w14:paraId="30A0E4C6" w14:textId="77777777" w:rsidR="00D240D3" w:rsidRPr="00D240D3" w:rsidRDefault="00D240D3" w:rsidP="00FA649A">
            <w:pPr>
              <w:spacing w:before="0" w:after="0" w:line="278" w:lineRule="auto"/>
              <w:rPr>
                <w:b/>
                <w:bCs/>
                <w:lang w:val="sq-AL"/>
              </w:rPr>
            </w:pPr>
            <w:r w:rsidRPr="00D240D3">
              <w:rPr>
                <w:b/>
                <w:bCs/>
                <w:lang w:val="sq-AL"/>
              </w:rPr>
              <w:t>Nr.</w:t>
            </w:r>
          </w:p>
        </w:tc>
        <w:tc>
          <w:tcPr>
            <w:tcW w:w="6975" w:type="dxa"/>
            <w:tcBorders>
              <w:top w:val="single" w:sz="12" w:space="0" w:color="000000"/>
              <w:left w:val="nil"/>
              <w:bottom w:val="single" w:sz="12" w:space="0" w:color="000000"/>
              <w:right w:val="nil"/>
            </w:tcBorders>
            <w:shd w:val="solid" w:color="808080" w:fill="FFFFFF"/>
            <w:hideMark/>
          </w:tcPr>
          <w:p w14:paraId="277551FA" w14:textId="77777777" w:rsidR="00D240D3" w:rsidRPr="00D240D3" w:rsidRDefault="00D240D3" w:rsidP="00FA649A">
            <w:pPr>
              <w:spacing w:before="0" w:after="0" w:line="278" w:lineRule="auto"/>
              <w:rPr>
                <w:b/>
                <w:bCs/>
                <w:lang w:val="sq-AL"/>
              </w:rPr>
            </w:pPr>
            <w:r w:rsidRPr="00D240D3">
              <w:rPr>
                <w:b/>
                <w:bCs/>
                <w:lang w:val="sq-AL"/>
              </w:rPr>
              <w:t>Aktiviteti</w:t>
            </w:r>
          </w:p>
        </w:tc>
        <w:tc>
          <w:tcPr>
            <w:tcW w:w="2700" w:type="dxa"/>
            <w:tcBorders>
              <w:top w:val="single" w:sz="12" w:space="0" w:color="000000"/>
              <w:left w:val="nil"/>
              <w:bottom w:val="single" w:sz="4" w:space="0" w:color="auto"/>
              <w:right w:val="single" w:sz="12" w:space="0" w:color="000000"/>
            </w:tcBorders>
            <w:shd w:val="solid" w:color="808080" w:fill="FFFFFF"/>
            <w:hideMark/>
          </w:tcPr>
          <w:p w14:paraId="5AD6B9B0" w14:textId="77777777" w:rsidR="00D240D3" w:rsidRPr="00D240D3" w:rsidRDefault="00D240D3" w:rsidP="00FA649A">
            <w:pPr>
              <w:spacing w:before="0" w:after="0" w:line="278" w:lineRule="auto"/>
              <w:rPr>
                <w:b/>
                <w:bCs/>
                <w:lang w:val="sq-AL"/>
              </w:rPr>
            </w:pPr>
            <w:r w:rsidRPr="00D240D3">
              <w:rPr>
                <w:b/>
                <w:bCs/>
                <w:lang w:val="sq-AL"/>
              </w:rPr>
              <w:t>Afati kohor</w:t>
            </w:r>
          </w:p>
        </w:tc>
      </w:tr>
      <w:tr w:rsidR="00C138A2" w:rsidRPr="00D240D3" w14:paraId="7E23CC91" w14:textId="77777777">
        <w:tc>
          <w:tcPr>
            <w:tcW w:w="570" w:type="dxa"/>
            <w:tcBorders>
              <w:top w:val="single" w:sz="6" w:space="0" w:color="000000"/>
              <w:left w:val="single" w:sz="12" w:space="0" w:color="000000"/>
              <w:bottom w:val="single" w:sz="6" w:space="0" w:color="000000"/>
              <w:right w:val="nil"/>
            </w:tcBorders>
            <w:hideMark/>
          </w:tcPr>
          <w:p w14:paraId="2BF84F5D" w14:textId="77777777" w:rsidR="00C138A2" w:rsidRPr="00D240D3" w:rsidRDefault="00C138A2" w:rsidP="00C138A2">
            <w:pPr>
              <w:spacing w:before="0" w:after="0" w:line="278" w:lineRule="auto"/>
              <w:rPr>
                <w:lang w:val="sq-AL"/>
              </w:rPr>
            </w:pPr>
            <w:r w:rsidRPr="00D240D3">
              <w:rPr>
                <w:lang w:val="sq-AL"/>
              </w:rPr>
              <w:t>1.</w:t>
            </w:r>
          </w:p>
        </w:tc>
        <w:tc>
          <w:tcPr>
            <w:tcW w:w="6975" w:type="dxa"/>
            <w:tcBorders>
              <w:top w:val="single" w:sz="6" w:space="0" w:color="000000"/>
              <w:left w:val="nil"/>
              <w:bottom w:val="single" w:sz="6" w:space="0" w:color="000000"/>
              <w:right w:val="single" w:sz="4" w:space="0" w:color="auto"/>
            </w:tcBorders>
            <w:hideMark/>
          </w:tcPr>
          <w:p w14:paraId="70095D27" w14:textId="77777777" w:rsidR="00C138A2" w:rsidRPr="00D240D3" w:rsidRDefault="00C138A2" w:rsidP="00C138A2">
            <w:pPr>
              <w:spacing w:before="0" w:after="0" w:line="278" w:lineRule="auto"/>
              <w:rPr>
                <w:lang w:val="sq-AL"/>
              </w:rPr>
            </w:pPr>
            <w:r w:rsidRPr="00D240D3">
              <w:rPr>
                <w:lang w:val="sq-AL"/>
              </w:rPr>
              <w:t>Shpallja e thirrjes</w:t>
            </w:r>
          </w:p>
        </w:tc>
        <w:tc>
          <w:tcPr>
            <w:tcW w:w="2700" w:type="dxa"/>
            <w:tcBorders>
              <w:top w:val="single" w:sz="4" w:space="0" w:color="auto"/>
              <w:left w:val="single" w:sz="4" w:space="0" w:color="auto"/>
              <w:bottom w:val="single" w:sz="4" w:space="0" w:color="auto"/>
              <w:right w:val="single" w:sz="4" w:space="0" w:color="auto"/>
            </w:tcBorders>
            <w:hideMark/>
          </w:tcPr>
          <w:p w14:paraId="32478E1D" w14:textId="76A9C5AB" w:rsidR="00C138A2" w:rsidRPr="00A1303B" w:rsidRDefault="00C138A2" w:rsidP="00C138A2">
            <w:pPr>
              <w:spacing w:before="0" w:after="0" w:line="278" w:lineRule="auto"/>
              <w:rPr>
                <w:sz w:val="18"/>
                <w:szCs w:val="18"/>
                <w:lang w:val="sq-AL"/>
              </w:rPr>
            </w:pPr>
            <w:r>
              <w:rPr>
                <w:rFonts w:ascii="Arial" w:hAnsi="Arial" w:cs="Arial"/>
                <w:sz w:val="22"/>
                <w:szCs w:val="22"/>
              </w:rPr>
              <w:t>14</w:t>
            </w:r>
            <w:r w:rsidRPr="001D4CBC">
              <w:rPr>
                <w:rFonts w:ascii="Arial" w:hAnsi="Arial" w:cs="Arial"/>
                <w:sz w:val="22"/>
                <w:szCs w:val="22"/>
              </w:rPr>
              <w:t>.0</w:t>
            </w:r>
            <w:r>
              <w:rPr>
                <w:rFonts w:ascii="Arial" w:hAnsi="Arial" w:cs="Arial"/>
                <w:sz w:val="22"/>
                <w:szCs w:val="22"/>
              </w:rPr>
              <w:t>5</w:t>
            </w:r>
            <w:r w:rsidRPr="001D4CBC">
              <w:rPr>
                <w:rFonts w:ascii="Arial" w:hAnsi="Arial" w:cs="Arial"/>
                <w:sz w:val="22"/>
                <w:szCs w:val="22"/>
              </w:rPr>
              <w:t>.202</w:t>
            </w:r>
            <w:r>
              <w:rPr>
                <w:rFonts w:ascii="Arial" w:hAnsi="Arial" w:cs="Arial"/>
                <w:sz w:val="22"/>
                <w:szCs w:val="22"/>
              </w:rPr>
              <w:t>6</w:t>
            </w:r>
          </w:p>
        </w:tc>
      </w:tr>
      <w:tr w:rsidR="00C138A2" w:rsidRPr="00D240D3" w14:paraId="0CE57585" w14:textId="77777777">
        <w:tc>
          <w:tcPr>
            <w:tcW w:w="570" w:type="dxa"/>
            <w:tcBorders>
              <w:top w:val="single" w:sz="6" w:space="0" w:color="000000"/>
              <w:left w:val="single" w:sz="12" w:space="0" w:color="000000"/>
              <w:bottom w:val="single" w:sz="6" w:space="0" w:color="000000"/>
              <w:right w:val="nil"/>
            </w:tcBorders>
            <w:hideMark/>
          </w:tcPr>
          <w:p w14:paraId="3E6BD54E" w14:textId="77777777" w:rsidR="00C138A2" w:rsidRPr="00D240D3" w:rsidRDefault="00C138A2" w:rsidP="00C138A2">
            <w:pPr>
              <w:spacing w:before="0" w:after="0" w:line="278" w:lineRule="auto"/>
              <w:rPr>
                <w:lang w:val="sq-AL"/>
              </w:rPr>
            </w:pPr>
            <w:r w:rsidRPr="00D240D3">
              <w:rPr>
                <w:lang w:val="sq-AL"/>
              </w:rPr>
              <w:t>2.</w:t>
            </w:r>
          </w:p>
        </w:tc>
        <w:tc>
          <w:tcPr>
            <w:tcW w:w="6975" w:type="dxa"/>
            <w:tcBorders>
              <w:top w:val="single" w:sz="6" w:space="0" w:color="000000"/>
              <w:left w:val="nil"/>
              <w:bottom w:val="single" w:sz="6" w:space="0" w:color="000000"/>
              <w:right w:val="single" w:sz="4" w:space="0" w:color="auto"/>
            </w:tcBorders>
            <w:hideMark/>
          </w:tcPr>
          <w:p w14:paraId="49E2EA47" w14:textId="77777777" w:rsidR="00C138A2" w:rsidRPr="00D240D3" w:rsidRDefault="00C138A2" w:rsidP="00C138A2">
            <w:pPr>
              <w:spacing w:before="0" w:after="0" w:line="278" w:lineRule="auto"/>
              <w:rPr>
                <w:lang w:val="sq-AL"/>
              </w:rPr>
            </w:pPr>
            <w:r w:rsidRPr="00D240D3">
              <w:rPr>
                <w:lang w:val="sq-AL"/>
              </w:rPr>
              <w:t>Mbajtja e info sesioneve online</w:t>
            </w:r>
          </w:p>
        </w:tc>
        <w:tc>
          <w:tcPr>
            <w:tcW w:w="2700" w:type="dxa"/>
            <w:tcBorders>
              <w:top w:val="single" w:sz="4" w:space="0" w:color="auto"/>
              <w:left w:val="single" w:sz="4" w:space="0" w:color="auto"/>
              <w:bottom w:val="single" w:sz="4" w:space="0" w:color="auto"/>
              <w:right w:val="single" w:sz="4" w:space="0" w:color="auto"/>
            </w:tcBorders>
            <w:hideMark/>
          </w:tcPr>
          <w:p w14:paraId="21427093" w14:textId="30AF4E20" w:rsidR="00C138A2" w:rsidRPr="00A1303B" w:rsidRDefault="00C138A2" w:rsidP="00C138A2">
            <w:pPr>
              <w:spacing w:before="0" w:after="0" w:line="278" w:lineRule="auto"/>
              <w:rPr>
                <w:sz w:val="18"/>
                <w:szCs w:val="18"/>
                <w:lang w:val="sq-AL"/>
              </w:rPr>
            </w:pPr>
            <w:r>
              <w:rPr>
                <w:rFonts w:ascii="Arial" w:hAnsi="Arial" w:cs="Arial"/>
                <w:sz w:val="22"/>
                <w:szCs w:val="22"/>
              </w:rPr>
              <w:t>18-25</w:t>
            </w:r>
            <w:r w:rsidRPr="001D4CBC">
              <w:rPr>
                <w:rFonts w:ascii="Arial" w:hAnsi="Arial" w:cs="Arial"/>
                <w:sz w:val="22"/>
                <w:szCs w:val="22"/>
              </w:rPr>
              <w:t>.0</w:t>
            </w:r>
            <w:r>
              <w:rPr>
                <w:rFonts w:ascii="Arial" w:hAnsi="Arial" w:cs="Arial"/>
                <w:sz w:val="22"/>
                <w:szCs w:val="22"/>
              </w:rPr>
              <w:t>5</w:t>
            </w:r>
            <w:r w:rsidRPr="001D4CBC">
              <w:rPr>
                <w:rFonts w:ascii="Arial" w:hAnsi="Arial" w:cs="Arial"/>
                <w:sz w:val="22"/>
                <w:szCs w:val="22"/>
              </w:rPr>
              <w:t xml:space="preserve"> 202</w:t>
            </w:r>
            <w:r>
              <w:rPr>
                <w:rFonts w:ascii="Arial" w:hAnsi="Arial" w:cs="Arial"/>
                <w:sz w:val="22"/>
                <w:szCs w:val="22"/>
              </w:rPr>
              <w:t>6</w:t>
            </w:r>
          </w:p>
        </w:tc>
      </w:tr>
      <w:tr w:rsidR="00C138A2" w:rsidRPr="00D240D3" w14:paraId="07788DCA" w14:textId="77777777">
        <w:tc>
          <w:tcPr>
            <w:tcW w:w="570" w:type="dxa"/>
            <w:tcBorders>
              <w:top w:val="single" w:sz="6" w:space="0" w:color="000000"/>
              <w:left w:val="single" w:sz="12" w:space="0" w:color="000000"/>
              <w:bottom w:val="single" w:sz="6" w:space="0" w:color="000000"/>
              <w:right w:val="nil"/>
            </w:tcBorders>
            <w:hideMark/>
          </w:tcPr>
          <w:p w14:paraId="59DA390B" w14:textId="77777777" w:rsidR="00C138A2" w:rsidRPr="00D240D3" w:rsidRDefault="00C138A2" w:rsidP="00C138A2">
            <w:pPr>
              <w:spacing w:before="0" w:after="0" w:line="278" w:lineRule="auto"/>
              <w:rPr>
                <w:lang w:val="sq-AL"/>
              </w:rPr>
            </w:pPr>
            <w:r w:rsidRPr="00D240D3">
              <w:rPr>
                <w:lang w:val="sq-AL"/>
              </w:rPr>
              <w:t>2.</w:t>
            </w:r>
          </w:p>
        </w:tc>
        <w:tc>
          <w:tcPr>
            <w:tcW w:w="6975" w:type="dxa"/>
            <w:tcBorders>
              <w:top w:val="single" w:sz="6" w:space="0" w:color="000000"/>
              <w:left w:val="nil"/>
              <w:bottom w:val="single" w:sz="6" w:space="0" w:color="000000"/>
              <w:right w:val="single" w:sz="4" w:space="0" w:color="auto"/>
            </w:tcBorders>
            <w:hideMark/>
          </w:tcPr>
          <w:p w14:paraId="23CB5103" w14:textId="77777777" w:rsidR="00C138A2" w:rsidRPr="00D240D3" w:rsidRDefault="00C138A2" w:rsidP="00C138A2">
            <w:pPr>
              <w:spacing w:before="0" w:after="0" w:line="278" w:lineRule="auto"/>
              <w:rPr>
                <w:lang w:val="sq-AL"/>
              </w:rPr>
            </w:pPr>
            <w:r w:rsidRPr="00D240D3">
              <w:rPr>
                <w:lang w:val="sq-AL"/>
              </w:rPr>
              <w:t>Afati përfundimtar për dorëzimin e aplikacioneve</w:t>
            </w:r>
          </w:p>
        </w:tc>
        <w:tc>
          <w:tcPr>
            <w:tcW w:w="2700" w:type="dxa"/>
            <w:tcBorders>
              <w:top w:val="single" w:sz="4" w:space="0" w:color="auto"/>
              <w:left w:val="single" w:sz="4" w:space="0" w:color="auto"/>
              <w:bottom w:val="single" w:sz="4" w:space="0" w:color="auto"/>
              <w:right w:val="single" w:sz="4" w:space="0" w:color="auto"/>
            </w:tcBorders>
            <w:hideMark/>
          </w:tcPr>
          <w:p w14:paraId="49EF96CA" w14:textId="64855554" w:rsidR="00C138A2" w:rsidRPr="00A1303B" w:rsidRDefault="00C138A2" w:rsidP="00C138A2">
            <w:pPr>
              <w:spacing w:before="0" w:after="0" w:line="278" w:lineRule="auto"/>
              <w:rPr>
                <w:sz w:val="18"/>
                <w:szCs w:val="18"/>
                <w:lang w:val="sq-AL"/>
              </w:rPr>
            </w:pPr>
            <w:r>
              <w:rPr>
                <w:rFonts w:ascii="Arial" w:hAnsi="Arial" w:cs="Arial"/>
                <w:sz w:val="22"/>
                <w:szCs w:val="22"/>
              </w:rPr>
              <w:t>03</w:t>
            </w:r>
            <w:r w:rsidRPr="001D4CBC">
              <w:rPr>
                <w:rFonts w:ascii="Arial" w:hAnsi="Arial" w:cs="Arial"/>
                <w:sz w:val="22"/>
                <w:szCs w:val="22"/>
              </w:rPr>
              <w:t>.06.202</w:t>
            </w:r>
            <w:r>
              <w:rPr>
                <w:rFonts w:ascii="Arial" w:hAnsi="Arial" w:cs="Arial"/>
                <w:sz w:val="22"/>
                <w:szCs w:val="22"/>
              </w:rPr>
              <w:t>6</w:t>
            </w:r>
          </w:p>
        </w:tc>
      </w:tr>
      <w:tr w:rsidR="00C138A2" w:rsidRPr="00D240D3" w14:paraId="07414B60" w14:textId="77777777">
        <w:tc>
          <w:tcPr>
            <w:tcW w:w="570" w:type="dxa"/>
            <w:tcBorders>
              <w:top w:val="single" w:sz="6" w:space="0" w:color="000000"/>
              <w:left w:val="single" w:sz="12" w:space="0" w:color="000000"/>
              <w:bottom w:val="single" w:sz="6" w:space="0" w:color="000000"/>
              <w:right w:val="nil"/>
            </w:tcBorders>
            <w:hideMark/>
          </w:tcPr>
          <w:p w14:paraId="36E44005" w14:textId="77777777" w:rsidR="00C138A2" w:rsidRPr="00D240D3" w:rsidRDefault="00C138A2" w:rsidP="00C138A2">
            <w:pPr>
              <w:spacing w:before="0" w:after="0" w:line="278" w:lineRule="auto"/>
              <w:rPr>
                <w:lang w:val="sq-AL"/>
              </w:rPr>
            </w:pPr>
            <w:r w:rsidRPr="00D240D3">
              <w:rPr>
                <w:lang w:val="sq-AL"/>
              </w:rPr>
              <w:t>3.</w:t>
            </w:r>
          </w:p>
        </w:tc>
        <w:tc>
          <w:tcPr>
            <w:tcW w:w="6975" w:type="dxa"/>
            <w:tcBorders>
              <w:top w:val="single" w:sz="6" w:space="0" w:color="000000"/>
              <w:left w:val="nil"/>
              <w:bottom w:val="single" w:sz="6" w:space="0" w:color="000000"/>
              <w:right w:val="single" w:sz="4" w:space="0" w:color="auto"/>
            </w:tcBorders>
            <w:hideMark/>
          </w:tcPr>
          <w:p w14:paraId="6D78DE26" w14:textId="77777777" w:rsidR="00C138A2" w:rsidRPr="00D240D3" w:rsidRDefault="00C138A2" w:rsidP="00C138A2">
            <w:pPr>
              <w:spacing w:before="0" w:after="0" w:line="278" w:lineRule="auto"/>
              <w:rPr>
                <w:lang w:val="sq-AL"/>
              </w:rPr>
            </w:pPr>
            <w:r w:rsidRPr="00D240D3">
              <w:rPr>
                <w:lang w:val="sq-AL"/>
              </w:rPr>
              <w:t>Evaluimi dhe përzgjedhja</w:t>
            </w:r>
          </w:p>
        </w:tc>
        <w:tc>
          <w:tcPr>
            <w:tcW w:w="2700" w:type="dxa"/>
            <w:tcBorders>
              <w:top w:val="single" w:sz="4" w:space="0" w:color="auto"/>
              <w:left w:val="single" w:sz="4" w:space="0" w:color="auto"/>
              <w:bottom w:val="single" w:sz="4" w:space="0" w:color="auto"/>
              <w:right w:val="single" w:sz="4" w:space="0" w:color="auto"/>
            </w:tcBorders>
            <w:hideMark/>
          </w:tcPr>
          <w:p w14:paraId="50EF4BF1" w14:textId="01EFFBA8" w:rsidR="00C138A2" w:rsidRPr="00A1303B" w:rsidRDefault="00C138A2" w:rsidP="00C138A2">
            <w:pPr>
              <w:spacing w:before="0" w:after="0" w:line="278" w:lineRule="auto"/>
              <w:rPr>
                <w:sz w:val="18"/>
                <w:szCs w:val="18"/>
                <w:lang w:val="sq-AL"/>
              </w:rPr>
            </w:pPr>
            <w:r>
              <w:rPr>
                <w:rFonts w:ascii="Arial" w:hAnsi="Arial" w:cs="Arial"/>
                <w:sz w:val="22"/>
                <w:szCs w:val="22"/>
              </w:rPr>
              <w:t>15</w:t>
            </w:r>
            <w:r w:rsidRPr="001D4CBC">
              <w:rPr>
                <w:rFonts w:ascii="Arial" w:hAnsi="Arial" w:cs="Arial"/>
                <w:sz w:val="22"/>
                <w:szCs w:val="22"/>
              </w:rPr>
              <w:t>.06.202</w:t>
            </w:r>
            <w:r>
              <w:rPr>
                <w:rFonts w:ascii="Arial" w:hAnsi="Arial" w:cs="Arial"/>
                <w:sz w:val="22"/>
                <w:szCs w:val="22"/>
              </w:rPr>
              <w:t>6</w:t>
            </w:r>
          </w:p>
        </w:tc>
      </w:tr>
      <w:tr w:rsidR="00C138A2" w:rsidRPr="00D240D3" w14:paraId="67E26187" w14:textId="77777777">
        <w:tc>
          <w:tcPr>
            <w:tcW w:w="570" w:type="dxa"/>
            <w:tcBorders>
              <w:top w:val="single" w:sz="6" w:space="0" w:color="000000"/>
              <w:left w:val="single" w:sz="12" w:space="0" w:color="000000"/>
              <w:bottom w:val="single" w:sz="6" w:space="0" w:color="000000"/>
              <w:right w:val="nil"/>
            </w:tcBorders>
            <w:hideMark/>
          </w:tcPr>
          <w:p w14:paraId="6EF547C9" w14:textId="77777777" w:rsidR="00C138A2" w:rsidRPr="00D240D3" w:rsidRDefault="00C138A2" w:rsidP="00C138A2">
            <w:pPr>
              <w:spacing w:before="0" w:after="0" w:line="278" w:lineRule="auto"/>
              <w:rPr>
                <w:lang w:val="sq-AL"/>
              </w:rPr>
            </w:pPr>
            <w:r w:rsidRPr="00D240D3">
              <w:rPr>
                <w:lang w:val="sq-AL"/>
              </w:rPr>
              <w:t>4.</w:t>
            </w:r>
          </w:p>
        </w:tc>
        <w:tc>
          <w:tcPr>
            <w:tcW w:w="6975" w:type="dxa"/>
            <w:tcBorders>
              <w:top w:val="single" w:sz="6" w:space="0" w:color="000000"/>
              <w:left w:val="nil"/>
              <w:bottom w:val="single" w:sz="6" w:space="0" w:color="000000"/>
              <w:right w:val="single" w:sz="4" w:space="0" w:color="auto"/>
            </w:tcBorders>
            <w:hideMark/>
          </w:tcPr>
          <w:p w14:paraId="52CFE6C6" w14:textId="77777777" w:rsidR="00C138A2" w:rsidRPr="00D240D3" w:rsidRDefault="00C138A2" w:rsidP="00C138A2">
            <w:pPr>
              <w:spacing w:before="0" w:after="0" w:line="278" w:lineRule="auto"/>
              <w:rPr>
                <w:lang w:val="sq-AL"/>
              </w:rPr>
            </w:pPr>
            <w:r w:rsidRPr="00D240D3">
              <w:rPr>
                <w:lang w:val="sq-AL"/>
              </w:rPr>
              <w:t>Përputhshmëria dhe lidhja e marrëveshjeve</w:t>
            </w:r>
          </w:p>
        </w:tc>
        <w:tc>
          <w:tcPr>
            <w:tcW w:w="2700" w:type="dxa"/>
            <w:tcBorders>
              <w:top w:val="single" w:sz="4" w:space="0" w:color="auto"/>
              <w:left w:val="single" w:sz="4" w:space="0" w:color="auto"/>
              <w:bottom w:val="single" w:sz="4" w:space="0" w:color="auto"/>
              <w:right w:val="single" w:sz="4" w:space="0" w:color="auto"/>
            </w:tcBorders>
            <w:hideMark/>
          </w:tcPr>
          <w:p w14:paraId="0CD52468" w14:textId="0D84A3EA" w:rsidR="00C138A2" w:rsidRPr="00A1303B" w:rsidRDefault="00C138A2" w:rsidP="00C138A2">
            <w:pPr>
              <w:spacing w:before="0" w:after="0" w:line="278" w:lineRule="auto"/>
              <w:rPr>
                <w:sz w:val="18"/>
                <w:szCs w:val="18"/>
                <w:lang w:val="sq-AL"/>
              </w:rPr>
            </w:pPr>
            <w:r>
              <w:rPr>
                <w:rFonts w:ascii="Arial" w:hAnsi="Arial" w:cs="Arial"/>
                <w:sz w:val="22"/>
                <w:szCs w:val="22"/>
              </w:rPr>
              <w:t>30</w:t>
            </w:r>
            <w:r w:rsidRPr="001D4CBC">
              <w:rPr>
                <w:rFonts w:ascii="Arial" w:hAnsi="Arial" w:cs="Arial"/>
                <w:sz w:val="22"/>
                <w:szCs w:val="22"/>
              </w:rPr>
              <w:t>.0</w:t>
            </w:r>
            <w:r>
              <w:rPr>
                <w:rFonts w:ascii="Arial" w:hAnsi="Arial" w:cs="Arial"/>
                <w:sz w:val="22"/>
                <w:szCs w:val="22"/>
              </w:rPr>
              <w:t>6</w:t>
            </w:r>
            <w:r w:rsidRPr="001D4CBC">
              <w:rPr>
                <w:rFonts w:ascii="Arial" w:hAnsi="Arial" w:cs="Arial"/>
                <w:sz w:val="22"/>
                <w:szCs w:val="22"/>
              </w:rPr>
              <w:t>.202</w:t>
            </w:r>
            <w:r>
              <w:rPr>
                <w:rFonts w:ascii="Arial" w:hAnsi="Arial" w:cs="Arial"/>
                <w:sz w:val="22"/>
                <w:szCs w:val="22"/>
              </w:rPr>
              <w:t>6</w:t>
            </w:r>
          </w:p>
        </w:tc>
      </w:tr>
      <w:tr w:rsidR="00C138A2" w:rsidRPr="00D240D3" w14:paraId="76BDB36D" w14:textId="77777777">
        <w:tc>
          <w:tcPr>
            <w:tcW w:w="570" w:type="dxa"/>
            <w:tcBorders>
              <w:top w:val="single" w:sz="6" w:space="0" w:color="000000"/>
              <w:left w:val="single" w:sz="12" w:space="0" w:color="000000"/>
              <w:bottom w:val="single" w:sz="6" w:space="0" w:color="000000"/>
              <w:right w:val="nil"/>
            </w:tcBorders>
            <w:hideMark/>
          </w:tcPr>
          <w:p w14:paraId="72C45746" w14:textId="77777777" w:rsidR="00C138A2" w:rsidRPr="00D240D3" w:rsidRDefault="00C138A2" w:rsidP="00C138A2">
            <w:pPr>
              <w:spacing w:before="0" w:after="0" w:line="278" w:lineRule="auto"/>
              <w:rPr>
                <w:lang w:val="sq-AL"/>
              </w:rPr>
            </w:pPr>
            <w:r w:rsidRPr="00D240D3">
              <w:rPr>
                <w:lang w:val="sq-AL"/>
              </w:rPr>
              <w:t>5.</w:t>
            </w:r>
          </w:p>
        </w:tc>
        <w:tc>
          <w:tcPr>
            <w:tcW w:w="6975" w:type="dxa"/>
            <w:tcBorders>
              <w:top w:val="single" w:sz="6" w:space="0" w:color="000000"/>
              <w:left w:val="nil"/>
              <w:bottom w:val="single" w:sz="6" w:space="0" w:color="000000"/>
              <w:right w:val="single" w:sz="4" w:space="0" w:color="auto"/>
            </w:tcBorders>
            <w:hideMark/>
          </w:tcPr>
          <w:p w14:paraId="71551376" w14:textId="77777777" w:rsidR="00C138A2" w:rsidRPr="00D240D3" w:rsidRDefault="00C138A2" w:rsidP="00C138A2">
            <w:pPr>
              <w:spacing w:before="0" w:after="0" w:line="278" w:lineRule="auto"/>
              <w:rPr>
                <w:lang w:val="sq-AL"/>
              </w:rPr>
            </w:pPr>
            <w:r w:rsidRPr="00D240D3">
              <w:rPr>
                <w:lang w:val="sq-AL"/>
              </w:rPr>
              <w:t xml:space="preserve">Fillimi i zbatimit të projekteve </w:t>
            </w:r>
          </w:p>
        </w:tc>
        <w:tc>
          <w:tcPr>
            <w:tcW w:w="2700" w:type="dxa"/>
            <w:tcBorders>
              <w:top w:val="single" w:sz="4" w:space="0" w:color="auto"/>
              <w:left w:val="single" w:sz="4" w:space="0" w:color="auto"/>
              <w:bottom w:val="single" w:sz="4" w:space="0" w:color="auto"/>
              <w:right w:val="single" w:sz="4" w:space="0" w:color="auto"/>
            </w:tcBorders>
            <w:hideMark/>
          </w:tcPr>
          <w:p w14:paraId="67D87998" w14:textId="3893DB27" w:rsidR="00C138A2" w:rsidRPr="00A1303B" w:rsidRDefault="00C138A2" w:rsidP="00C138A2">
            <w:pPr>
              <w:spacing w:before="0" w:after="0" w:line="278" w:lineRule="auto"/>
              <w:rPr>
                <w:sz w:val="18"/>
                <w:szCs w:val="18"/>
                <w:lang w:val="sq-AL"/>
              </w:rPr>
            </w:pPr>
            <w:r>
              <w:rPr>
                <w:rFonts w:ascii="Arial" w:hAnsi="Arial" w:cs="Arial"/>
                <w:sz w:val="22"/>
                <w:szCs w:val="22"/>
              </w:rPr>
              <w:t>03</w:t>
            </w:r>
            <w:r w:rsidRPr="001D4CBC">
              <w:rPr>
                <w:rFonts w:ascii="Arial" w:hAnsi="Arial" w:cs="Arial"/>
                <w:sz w:val="22"/>
                <w:szCs w:val="22"/>
              </w:rPr>
              <w:t>.07.202</w:t>
            </w:r>
            <w:r>
              <w:rPr>
                <w:rFonts w:ascii="Arial" w:hAnsi="Arial" w:cs="Arial"/>
                <w:sz w:val="22"/>
                <w:szCs w:val="22"/>
              </w:rPr>
              <w:t>6</w:t>
            </w:r>
          </w:p>
        </w:tc>
      </w:tr>
      <w:tr w:rsidR="00C138A2" w:rsidRPr="00D240D3" w14:paraId="0CB27660" w14:textId="77777777">
        <w:tc>
          <w:tcPr>
            <w:tcW w:w="570" w:type="dxa"/>
            <w:tcBorders>
              <w:top w:val="single" w:sz="6" w:space="0" w:color="000000"/>
              <w:left w:val="single" w:sz="12" w:space="0" w:color="000000"/>
              <w:bottom w:val="single" w:sz="6" w:space="0" w:color="000000"/>
              <w:right w:val="nil"/>
            </w:tcBorders>
            <w:hideMark/>
          </w:tcPr>
          <w:p w14:paraId="66995C6C" w14:textId="77777777" w:rsidR="00C138A2" w:rsidRPr="00D240D3" w:rsidRDefault="00C138A2" w:rsidP="00C138A2">
            <w:pPr>
              <w:spacing w:before="0" w:after="0" w:line="278" w:lineRule="auto"/>
              <w:rPr>
                <w:lang w:val="sq-AL"/>
              </w:rPr>
            </w:pPr>
            <w:r w:rsidRPr="00D240D3">
              <w:rPr>
                <w:lang w:val="sq-AL"/>
              </w:rPr>
              <w:t>7.</w:t>
            </w:r>
          </w:p>
        </w:tc>
        <w:tc>
          <w:tcPr>
            <w:tcW w:w="6975" w:type="dxa"/>
            <w:tcBorders>
              <w:top w:val="single" w:sz="6" w:space="0" w:color="000000"/>
              <w:left w:val="nil"/>
              <w:bottom w:val="single" w:sz="6" w:space="0" w:color="000000"/>
              <w:right w:val="single" w:sz="4" w:space="0" w:color="auto"/>
            </w:tcBorders>
            <w:hideMark/>
          </w:tcPr>
          <w:p w14:paraId="247B96F1" w14:textId="77777777" w:rsidR="00C138A2" w:rsidRPr="00D240D3" w:rsidRDefault="00C138A2" w:rsidP="00C138A2">
            <w:pPr>
              <w:spacing w:before="0" w:after="0" w:line="278" w:lineRule="auto"/>
              <w:rPr>
                <w:lang w:val="sq-AL"/>
              </w:rPr>
            </w:pPr>
            <w:r w:rsidRPr="00D240D3">
              <w:rPr>
                <w:lang w:val="sq-AL"/>
              </w:rPr>
              <w:t>Mbarimi i realizimit të projekteve</w:t>
            </w:r>
          </w:p>
        </w:tc>
        <w:tc>
          <w:tcPr>
            <w:tcW w:w="2700" w:type="dxa"/>
            <w:tcBorders>
              <w:top w:val="single" w:sz="4" w:space="0" w:color="auto"/>
              <w:left w:val="single" w:sz="4" w:space="0" w:color="auto"/>
              <w:bottom w:val="single" w:sz="4" w:space="0" w:color="auto"/>
              <w:right w:val="single" w:sz="4" w:space="0" w:color="auto"/>
            </w:tcBorders>
            <w:hideMark/>
          </w:tcPr>
          <w:p w14:paraId="345A711F" w14:textId="2E29DC82" w:rsidR="00C138A2" w:rsidRPr="00A1303B" w:rsidRDefault="00C138A2" w:rsidP="00C138A2">
            <w:pPr>
              <w:spacing w:before="0" w:after="0" w:line="278" w:lineRule="auto"/>
              <w:rPr>
                <w:sz w:val="18"/>
                <w:szCs w:val="18"/>
                <w:lang w:val="sq-AL"/>
              </w:rPr>
            </w:pPr>
            <w:r>
              <w:rPr>
                <w:rFonts w:ascii="Arial" w:hAnsi="Arial" w:cs="Arial"/>
                <w:sz w:val="22"/>
                <w:szCs w:val="22"/>
              </w:rPr>
              <w:t>31</w:t>
            </w:r>
            <w:r w:rsidRPr="001D4CBC">
              <w:rPr>
                <w:rFonts w:ascii="Arial" w:hAnsi="Arial" w:cs="Arial"/>
                <w:sz w:val="22"/>
                <w:szCs w:val="22"/>
              </w:rPr>
              <w:t>.0</w:t>
            </w:r>
            <w:r>
              <w:rPr>
                <w:rFonts w:ascii="Arial" w:hAnsi="Arial" w:cs="Arial"/>
                <w:sz w:val="22"/>
                <w:szCs w:val="22"/>
              </w:rPr>
              <w:t>3</w:t>
            </w:r>
            <w:r w:rsidRPr="001D4CBC">
              <w:rPr>
                <w:rFonts w:ascii="Arial" w:hAnsi="Arial" w:cs="Arial"/>
                <w:sz w:val="22"/>
                <w:szCs w:val="22"/>
              </w:rPr>
              <w:t>.202</w:t>
            </w:r>
            <w:r>
              <w:rPr>
                <w:rFonts w:ascii="Arial" w:hAnsi="Arial" w:cs="Arial"/>
                <w:sz w:val="22"/>
                <w:szCs w:val="22"/>
              </w:rPr>
              <w:t>7</w:t>
            </w:r>
          </w:p>
        </w:tc>
      </w:tr>
      <w:tr w:rsidR="00C138A2" w:rsidRPr="00D240D3" w14:paraId="52832CEA" w14:textId="77777777">
        <w:tc>
          <w:tcPr>
            <w:tcW w:w="570" w:type="dxa"/>
            <w:tcBorders>
              <w:top w:val="single" w:sz="6" w:space="0" w:color="000000"/>
              <w:left w:val="single" w:sz="12" w:space="0" w:color="000000"/>
              <w:bottom w:val="single" w:sz="12" w:space="0" w:color="000000"/>
              <w:right w:val="nil"/>
            </w:tcBorders>
            <w:hideMark/>
          </w:tcPr>
          <w:p w14:paraId="3573F89F" w14:textId="77777777" w:rsidR="00C138A2" w:rsidRPr="00D240D3" w:rsidRDefault="00C138A2" w:rsidP="00C138A2">
            <w:pPr>
              <w:spacing w:before="0" w:after="0" w:line="278" w:lineRule="auto"/>
              <w:rPr>
                <w:lang w:val="sq-AL"/>
              </w:rPr>
            </w:pPr>
            <w:r w:rsidRPr="00D240D3">
              <w:rPr>
                <w:lang w:val="sq-AL"/>
              </w:rPr>
              <w:t>8.</w:t>
            </w:r>
          </w:p>
        </w:tc>
        <w:tc>
          <w:tcPr>
            <w:tcW w:w="6975" w:type="dxa"/>
            <w:tcBorders>
              <w:top w:val="single" w:sz="6" w:space="0" w:color="000000"/>
              <w:left w:val="nil"/>
              <w:bottom w:val="single" w:sz="12" w:space="0" w:color="000000"/>
              <w:right w:val="single" w:sz="4" w:space="0" w:color="auto"/>
            </w:tcBorders>
            <w:hideMark/>
          </w:tcPr>
          <w:p w14:paraId="3D15CAFF" w14:textId="77777777" w:rsidR="00C138A2" w:rsidRPr="00D240D3" w:rsidRDefault="00C138A2" w:rsidP="00C138A2">
            <w:pPr>
              <w:spacing w:before="0" w:after="0" w:line="278" w:lineRule="auto"/>
              <w:rPr>
                <w:lang w:val="sq-AL"/>
              </w:rPr>
            </w:pPr>
            <w:r w:rsidRPr="00D240D3">
              <w:rPr>
                <w:lang w:val="sq-AL"/>
              </w:rPr>
              <w:t>Evaluimi, mësimet e marra dhe shpërndarja e rezultateve</w:t>
            </w:r>
          </w:p>
        </w:tc>
        <w:tc>
          <w:tcPr>
            <w:tcW w:w="2700" w:type="dxa"/>
            <w:tcBorders>
              <w:top w:val="single" w:sz="4" w:space="0" w:color="auto"/>
              <w:left w:val="single" w:sz="4" w:space="0" w:color="auto"/>
              <w:bottom w:val="single" w:sz="4" w:space="0" w:color="auto"/>
              <w:right w:val="single" w:sz="4" w:space="0" w:color="auto"/>
            </w:tcBorders>
            <w:hideMark/>
          </w:tcPr>
          <w:p w14:paraId="08196D4F" w14:textId="09C4DCBC" w:rsidR="00C138A2" w:rsidRPr="00A1303B" w:rsidRDefault="00C138A2" w:rsidP="00C138A2">
            <w:pPr>
              <w:spacing w:before="0" w:after="0" w:line="278" w:lineRule="auto"/>
              <w:rPr>
                <w:sz w:val="18"/>
                <w:szCs w:val="18"/>
                <w:lang w:val="sq-AL"/>
              </w:rPr>
            </w:pPr>
            <w:r w:rsidRPr="001D4CBC">
              <w:rPr>
                <w:rFonts w:ascii="Arial" w:hAnsi="Arial" w:cs="Arial"/>
                <w:sz w:val="22"/>
                <w:szCs w:val="22"/>
              </w:rPr>
              <w:t>15.04.202</w:t>
            </w:r>
            <w:r>
              <w:rPr>
                <w:rFonts w:ascii="Arial" w:hAnsi="Arial" w:cs="Arial"/>
                <w:sz w:val="22"/>
                <w:szCs w:val="22"/>
              </w:rPr>
              <w:t>7</w:t>
            </w:r>
          </w:p>
        </w:tc>
      </w:tr>
    </w:tbl>
    <w:p w14:paraId="478AC86B" w14:textId="77777777" w:rsidR="00FA649A" w:rsidRDefault="00FA649A" w:rsidP="00D240D3">
      <w:pPr>
        <w:spacing w:before="0" w:after="160" w:line="278" w:lineRule="auto"/>
        <w:rPr>
          <w:b/>
          <w:bCs/>
          <w:lang w:val="mk-MK"/>
        </w:rPr>
      </w:pPr>
    </w:p>
    <w:p w14:paraId="0D5EF636" w14:textId="1690AEB3" w:rsidR="00D240D3" w:rsidRPr="00FA649A" w:rsidRDefault="00D240D3" w:rsidP="003F7DDF">
      <w:pPr>
        <w:pStyle w:val="Heading2"/>
        <w:rPr>
          <w:lang w:val="sq-AL"/>
        </w:rPr>
      </w:pPr>
      <w:bookmarkStart w:id="13" w:name="_Toc228786303"/>
      <w:r w:rsidRPr="00FA649A">
        <w:rPr>
          <w:lang w:val="sq-AL"/>
        </w:rPr>
        <w:t>7. Ku ta dorëzoni aplikacionin?</w:t>
      </w:r>
      <w:bookmarkEnd w:id="13"/>
    </w:p>
    <w:p w14:paraId="0F1829FF" w14:textId="77777777" w:rsidR="00D240D3" w:rsidRPr="00D240D3" w:rsidRDefault="00D240D3" w:rsidP="00FA649A">
      <w:pPr>
        <w:spacing w:after="160" w:line="278" w:lineRule="auto"/>
        <w:jc w:val="both"/>
        <w:rPr>
          <w:lang w:val="sq-AL"/>
        </w:rPr>
      </w:pPr>
      <w:r w:rsidRPr="00D240D3">
        <w:rPr>
          <w:lang w:val="sq-AL"/>
        </w:rPr>
        <w:t xml:space="preserve">Komunat që shprehin interes për të paraqitur një propozim projekt për bashkëpunim ndërkomunal duhet të paraqesin një dosje të kompletuar të projektit në përputhje me Udhëzimet operative për Aplikim dhe kërkesat e përfshira në Formularit për aplikim. Aplikimet duhet të dorëzohen në gjuhën maqedonase dhe/ose shqipe. Në rast të paraqitjes së një aplikacioni në gjuhën shqipe, nevojitet që të dërgoni edhe përkthimin e aplikacionit në gjuhën maqedonase. </w:t>
      </w:r>
    </w:p>
    <w:p w14:paraId="52587F68" w14:textId="77777777" w:rsidR="00D240D3" w:rsidRPr="00E34415" w:rsidRDefault="00D240D3" w:rsidP="00D240D3">
      <w:pPr>
        <w:spacing w:after="160" w:line="278" w:lineRule="auto"/>
        <w:rPr>
          <w:lang w:val="sq-AL"/>
        </w:rPr>
      </w:pPr>
      <w:r w:rsidRPr="00D240D3">
        <w:rPr>
          <w:lang w:val="sq-AL"/>
        </w:rPr>
        <w:t>Aplikаcionet dorëzohen në mënyrë elektronike</w:t>
      </w:r>
      <w:r w:rsidRPr="00E34415">
        <w:rPr>
          <w:lang w:val="sq-AL"/>
        </w:rPr>
        <w:t>, me email në adresën e mëposhtme të postës elektronike:</w:t>
      </w:r>
    </w:p>
    <w:p w14:paraId="6A209BB8" w14:textId="01ABA49E" w:rsidR="00D240D3" w:rsidRPr="00D240D3" w:rsidRDefault="00D240D3" w:rsidP="00D240D3">
      <w:pPr>
        <w:spacing w:after="160" w:line="278" w:lineRule="auto"/>
        <w:rPr>
          <w:lang w:val="sq-AL"/>
        </w:rPr>
      </w:pPr>
      <w:r w:rsidRPr="00E34415">
        <w:rPr>
          <w:lang w:val="sq-AL"/>
        </w:rPr>
        <w:t xml:space="preserve">marjan.kelemen@undp.org më së voni </w:t>
      </w:r>
      <w:r w:rsidRPr="00E34415">
        <w:rPr>
          <w:b/>
          <w:bCs/>
          <w:lang w:val="sq-AL"/>
        </w:rPr>
        <w:t xml:space="preserve">deri më </w:t>
      </w:r>
      <w:r w:rsidR="00FA649A" w:rsidRPr="00E34415">
        <w:rPr>
          <w:b/>
          <w:bCs/>
          <w:lang w:val="mk-MK"/>
        </w:rPr>
        <w:t>0</w:t>
      </w:r>
      <w:r w:rsidR="00A50E5C">
        <w:rPr>
          <w:b/>
          <w:bCs/>
        </w:rPr>
        <w:t>3</w:t>
      </w:r>
      <w:r w:rsidRPr="00E34415">
        <w:rPr>
          <w:b/>
          <w:bCs/>
          <w:lang w:val="sq-AL"/>
        </w:rPr>
        <w:t>.06.</w:t>
      </w:r>
      <w:r w:rsidRPr="00E34415">
        <w:rPr>
          <w:lang w:val="sq-AL"/>
        </w:rPr>
        <w:t xml:space="preserve"> </w:t>
      </w:r>
      <w:r w:rsidRPr="00E34415">
        <w:rPr>
          <w:b/>
          <w:lang w:val="sq-AL"/>
        </w:rPr>
        <w:t>202</w:t>
      </w:r>
      <w:r w:rsidR="00FA649A" w:rsidRPr="00E34415">
        <w:rPr>
          <w:b/>
          <w:lang w:val="mk-MK"/>
        </w:rPr>
        <w:t>6</w:t>
      </w:r>
      <w:r w:rsidRPr="00E34415">
        <w:rPr>
          <w:lang w:val="sq-AL"/>
        </w:rPr>
        <w:t xml:space="preserve"> në ora</w:t>
      </w:r>
      <w:r w:rsidRPr="00D240D3">
        <w:rPr>
          <w:lang w:val="sq-AL"/>
        </w:rPr>
        <w:t xml:space="preserve"> 1</w:t>
      </w:r>
      <w:r w:rsidR="00C138A2">
        <w:rPr>
          <w:lang w:val="sq-AL"/>
        </w:rPr>
        <w:t>5</w:t>
      </w:r>
      <w:r w:rsidRPr="00D240D3">
        <w:rPr>
          <w:lang w:val="sq-AL"/>
        </w:rPr>
        <w:t xml:space="preserve">.00. </w:t>
      </w:r>
    </w:p>
    <w:p w14:paraId="74560F73" w14:textId="77777777" w:rsidR="00D240D3" w:rsidRPr="00D240D3" w:rsidRDefault="00D240D3" w:rsidP="00D240D3">
      <w:pPr>
        <w:spacing w:after="160" w:line="278" w:lineRule="auto"/>
        <w:rPr>
          <w:lang w:val="sq-AL"/>
        </w:rPr>
      </w:pPr>
      <w:r w:rsidRPr="00D240D3">
        <w:rPr>
          <w:lang w:val="sq-AL"/>
        </w:rPr>
        <w:t>Pranimi i secilit aplikаcion do të konfirmohet me një email kthyes nga UNDP brenda 24 orëve nga paraqitja e tij. Në rast të mos marrjes së konfirmimit kthyes nga ana e UNDP, e me qëllim për të shmangur gabimet e mundshme teknike, duhet të paraqisni përsëri aplikacionin ose të kontaktoni personin përgjegjës të projektit përmes postës elektronike marjan.kelemen@undp.org për të konfirmuar statusin e aplikimit tuaj.</w:t>
      </w:r>
    </w:p>
    <w:p w14:paraId="03B8EF4B" w14:textId="77777777" w:rsidR="00D240D3" w:rsidRPr="00D240D3" w:rsidRDefault="00D240D3" w:rsidP="00D240D3">
      <w:pPr>
        <w:spacing w:after="160" w:line="278" w:lineRule="auto"/>
        <w:rPr>
          <w:lang w:val="sq-AL"/>
        </w:rPr>
      </w:pPr>
      <w:r w:rsidRPr="00D240D3">
        <w:rPr>
          <w:b/>
          <w:u w:val="single"/>
          <w:lang w:val="sq-AL"/>
        </w:rPr>
        <w:t>Asnjë aplikacion</w:t>
      </w:r>
      <w:r w:rsidRPr="00D240D3">
        <w:rPr>
          <w:b/>
          <w:lang w:val="sq-AL"/>
        </w:rPr>
        <w:t xml:space="preserve"> </w:t>
      </w:r>
      <w:r w:rsidRPr="00D240D3">
        <w:rPr>
          <w:lang w:val="sq-AL"/>
        </w:rPr>
        <w:t>nuk do të pranohet pas skadimit të afatit.</w:t>
      </w:r>
    </w:p>
    <w:p w14:paraId="44EDCFB7" w14:textId="77777777" w:rsidR="00D240D3" w:rsidRPr="00D240D3" w:rsidRDefault="00D240D3" w:rsidP="00D240D3">
      <w:pPr>
        <w:spacing w:after="160" w:line="278" w:lineRule="auto"/>
        <w:rPr>
          <w:lang w:val="sq-AL"/>
        </w:rPr>
      </w:pPr>
      <w:r w:rsidRPr="00D240D3">
        <w:rPr>
          <w:lang w:val="sq-AL"/>
        </w:rPr>
        <w:t xml:space="preserve">Të gjitha pyetjet në lidhje me procedurën e aplikimit do të pranohen vetëm me shkrim përmes e-mailit. Personi për kontakt: Marjan Kelemen: </w:t>
      </w:r>
      <w:hyperlink r:id="rId7" w:history="1">
        <w:r w:rsidRPr="00D240D3">
          <w:rPr>
            <w:rStyle w:val="Hyperlink"/>
            <w:lang w:val="sq-AL"/>
          </w:rPr>
          <w:t>marjan.kelemen@undp.org</w:t>
        </w:r>
      </w:hyperlink>
      <w:r w:rsidRPr="00D240D3">
        <w:rPr>
          <w:lang w:val="sq-AL"/>
        </w:rPr>
        <w:t xml:space="preserve"> </w:t>
      </w:r>
    </w:p>
    <w:p w14:paraId="72468BD3" w14:textId="77777777" w:rsidR="00D240D3" w:rsidRPr="00D240D3" w:rsidRDefault="00D240D3" w:rsidP="00D240D3">
      <w:pPr>
        <w:spacing w:after="160" w:line="278" w:lineRule="auto"/>
        <w:rPr>
          <w:lang w:val="sq-AL"/>
        </w:rPr>
      </w:pPr>
      <w:r w:rsidRPr="00D240D3">
        <w:rPr>
          <w:lang w:val="sq-AL"/>
        </w:rPr>
        <w:t>Përgjigjet në pyetjet e parashtruara do të dorëzohen deri tek të gjitha komunat dhe Byroja për zhvillim rajonal me anë të e-mailit qarkor çdo të hënë.</w:t>
      </w:r>
    </w:p>
    <w:p w14:paraId="176F1085" w14:textId="77777777" w:rsidR="00D240D3" w:rsidRPr="00FA649A" w:rsidRDefault="00D240D3" w:rsidP="003F7DDF">
      <w:pPr>
        <w:pStyle w:val="Heading2"/>
        <w:rPr>
          <w:lang w:val="sq-AL"/>
        </w:rPr>
      </w:pPr>
      <w:bookmarkStart w:id="14" w:name="_Toc228786304"/>
      <w:r w:rsidRPr="00FA649A">
        <w:rPr>
          <w:lang w:val="sq-AL"/>
        </w:rPr>
        <w:t>8. Cilat lloje të projekteve për bashkëpunim ndërkomunal nuk financohen?</w:t>
      </w:r>
      <w:bookmarkEnd w:id="14"/>
    </w:p>
    <w:p w14:paraId="258FEC28" w14:textId="77777777" w:rsidR="00D240D3" w:rsidRPr="00D240D3" w:rsidRDefault="00D240D3" w:rsidP="00FA649A">
      <w:pPr>
        <w:spacing w:before="0" w:after="0" w:line="278" w:lineRule="auto"/>
        <w:rPr>
          <w:lang w:val="sq-AL"/>
        </w:rPr>
      </w:pPr>
      <w:r w:rsidRPr="00D240D3">
        <w:rPr>
          <w:lang w:val="sq-AL"/>
        </w:rPr>
        <w:t xml:space="preserve">Llojet e mëposhtme të projekteve </w:t>
      </w:r>
      <w:r w:rsidRPr="00D240D3">
        <w:rPr>
          <w:b/>
          <w:lang w:val="sq-AL"/>
        </w:rPr>
        <w:t>nuk janë të pranueshme</w:t>
      </w:r>
      <w:r w:rsidRPr="00D240D3">
        <w:rPr>
          <w:lang w:val="sq-AL"/>
        </w:rPr>
        <w:t xml:space="preserve"> për financim dhe për këtë arsye nuk mund të fitojnë mjete: </w:t>
      </w:r>
    </w:p>
    <w:p w14:paraId="1D638EAE" w14:textId="77777777" w:rsidR="00D240D3" w:rsidRPr="00D240D3" w:rsidRDefault="00D240D3" w:rsidP="00FA649A">
      <w:pPr>
        <w:numPr>
          <w:ilvl w:val="0"/>
          <w:numId w:val="1"/>
        </w:numPr>
        <w:spacing w:before="0" w:after="0" w:line="278" w:lineRule="auto"/>
        <w:rPr>
          <w:lang w:val="sq-AL"/>
        </w:rPr>
      </w:pPr>
      <w:r w:rsidRPr="00D240D3">
        <w:rPr>
          <w:lang w:val="sq-AL"/>
        </w:rPr>
        <w:t xml:space="preserve">Projektet që </w:t>
      </w:r>
      <w:r w:rsidRPr="00D240D3">
        <w:rPr>
          <w:b/>
          <w:lang w:val="sq-AL"/>
        </w:rPr>
        <w:t>nuk i referohen</w:t>
      </w:r>
      <w:r w:rsidRPr="00D240D3">
        <w:rPr>
          <w:lang w:val="sq-AL"/>
        </w:rPr>
        <w:t xml:space="preserve"> ndërtimit të kapaciteteve të njësive të vetëqeverisjes lokale për kryerjen e kompetencave të tyre dhe për ofrimin e shërbimeve publike. </w:t>
      </w:r>
    </w:p>
    <w:p w14:paraId="0F655C04" w14:textId="77777777" w:rsidR="00D240D3" w:rsidRPr="00D240D3" w:rsidRDefault="00D240D3" w:rsidP="00FA649A">
      <w:pPr>
        <w:numPr>
          <w:ilvl w:val="0"/>
          <w:numId w:val="1"/>
        </w:numPr>
        <w:spacing w:before="0" w:after="0" w:line="278" w:lineRule="auto"/>
        <w:rPr>
          <w:lang w:val="sq-AL"/>
        </w:rPr>
      </w:pPr>
      <w:r w:rsidRPr="00D240D3">
        <w:rPr>
          <w:lang w:val="sq-AL"/>
        </w:rPr>
        <w:t xml:space="preserve">Projektet që </w:t>
      </w:r>
      <w:r w:rsidRPr="00D240D3">
        <w:rPr>
          <w:b/>
          <w:lang w:val="sq-AL"/>
        </w:rPr>
        <w:t>nuk përfshijnë</w:t>
      </w:r>
      <w:r w:rsidRPr="00D240D3">
        <w:rPr>
          <w:lang w:val="sq-AL"/>
        </w:rPr>
        <w:t xml:space="preserve"> dy ose më shumë njësi të qeverisjes lokale. </w:t>
      </w:r>
    </w:p>
    <w:p w14:paraId="3E87BEC6" w14:textId="77777777" w:rsidR="00D240D3" w:rsidRPr="00D240D3" w:rsidRDefault="00D240D3" w:rsidP="00FA649A">
      <w:pPr>
        <w:numPr>
          <w:ilvl w:val="0"/>
          <w:numId w:val="1"/>
        </w:numPr>
        <w:spacing w:before="0" w:after="0" w:line="278" w:lineRule="auto"/>
        <w:rPr>
          <w:lang w:val="sq-AL"/>
        </w:rPr>
      </w:pPr>
      <w:r w:rsidRPr="00D240D3">
        <w:rPr>
          <w:lang w:val="sq-AL"/>
        </w:rPr>
        <w:t xml:space="preserve">Projektet që janë në fusha që </w:t>
      </w:r>
      <w:r w:rsidRPr="00D240D3">
        <w:rPr>
          <w:b/>
          <w:lang w:val="sq-AL"/>
        </w:rPr>
        <w:t>nuk janë në kompetencë</w:t>
      </w:r>
      <w:r w:rsidRPr="00D240D3">
        <w:rPr>
          <w:lang w:val="sq-AL"/>
        </w:rPr>
        <w:t xml:space="preserve"> të njësive të vetëqeverisjes lokale. </w:t>
      </w:r>
    </w:p>
    <w:p w14:paraId="78AE8A0B" w14:textId="77777777" w:rsidR="00D240D3" w:rsidRPr="00D240D3" w:rsidRDefault="00D240D3" w:rsidP="00FA649A">
      <w:pPr>
        <w:numPr>
          <w:ilvl w:val="0"/>
          <w:numId w:val="1"/>
        </w:numPr>
        <w:spacing w:before="0" w:after="0" w:line="278" w:lineRule="auto"/>
        <w:rPr>
          <w:lang w:val="sq-AL"/>
        </w:rPr>
      </w:pPr>
      <w:r w:rsidRPr="00D240D3">
        <w:rPr>
          <w:b/>
          <w:lang w:val="sq-AL"/>
        </w:rPr>
        <w:t>Financimi retroaktiv</w:t>
      </w:r>
      <w:r w:rsidRPr="00D240D3">
        <w:rPr>
          <w:lang w:val="sq-AL"/>
        </w:rPr>
        <w:t xml:space="preserve"> i aktiviteteve nga projektet që tashmë kanë filluar. </w:t>
      </w:r>
    </w:p>
    <w:p w14:paraId="5AF2B936" w14:textId="77777777" w:rsidR="00D240D3" w:rsidRPr="00D240D3" w:rsidRDefault="00D240D3" w:rsidP="00FA649A">
      <w:pPr>
        <w:numPr>
          <w:ilvl w:val="0"/>
          <w:numId w:val="1"/>
        </w:numPr>
        <w:spacing w:before="0" w:after="0" w:line="278" w:lineRule="auto"/>
        <w:rPr>
          <w:lang w:val="sq-AL"/>
        </w:rPr>
      </w:pPr>
      <w:r w:rsidRPr="00D240D3">
        <w:rPr>
          <w:lang w:val="sq-AL"/>
        </w:rPr>
        <w:t xml:space="preserve">Projektet </w:t>
      </w:r>
      <w:r w:rsidRPr="00D240D3">
        <w:rPr>
          <w:b/>
          <w:lang w:val="sq-AL"/>
        </w:rPr>
        <w:t>që përmbajnë veprimtari politike ose ideologjike</w:t>
      </w:r>
      <w:r w:rsidRPr="00D240D3">
        <w:rPr>
          <w:lang w:val="sq-AL"/>
        </w:rPr>
        <w:t xml:space="preserve"> ose kanë natyrë ekskluzivisht fetare. Përdorimi i grantit </w:t>
      </w:r>
      <w:r w:rsidRPr="00D240D3">
        <w:rPr>
          <w:b/>
          <w:lang w:val="sq-AL"/>
        </w:rPr>
        <w:t>për të siguruar grante ose hua për persona të tjerë juridikë</w:t>
      </w:r>
      <w:r w:rsidRPr="00D240D3">
        <w:rPr>
          <w:lang w:val="sq-AL"/>
        </w:rPr>
        <w:t xml:space="preserve">. </w:t>
      </w:r>
    </w:p>
    <w:p w14:paraId="2CB83824" w14:textId="77777777" w:rsidR="00D240D3" w:rsidRPr="00D240D3" w:rsidRDefault="00D240D3" w:rsidP="00FA649A">
      <w:pPr>
        <w:numPr>
          <w:ilvl w:val="0"/>
          <w:numId w:val="1"/>
        </w:numPr>
        <w:spacing w:before="0" w:after="0" w:line="278" w:lineRule="auto"/>
        <w:rPr>
          <w:lang w:val="sq-AL"/>
        </w:rPr>
      </w:pPr>
      <w:r w:rsidRPr="00D240D3">
        <w:rPr>
          <w:b/>
          <w:lang w:val="sq-AL"/>
        </w:rPr>
        <w:t>Themelimin e ndërmarrjeve private</w:t>
      </w:r>
      <w:r w:rsidRPr="00D240D3">
        <w:rPr>
          <w:lang w:val="sq-AL"/>
        </w:rPr>
        <w:t xml:space="preserve">. </w:t>
      </w:r>
    </w:p>
    <w:p w14:paraId="324E89A8" w14:textId="77777777" w:rsidR="00D240D3" w:rsidRPr="00D240D3" w:rsidRDefault="00D240D3" w:rsidP="00FA649A">
      <w:pPr>
        <w:numPr>
          <w:ilvl w:val="0"/>
          <w:numId w:val="1"/>
        </w:numPr>
        <w:spacing w:before="0" w:after="0" w:line="278" w:lineRule="auto"/>
        <w:rPr>
          <w:lang w:val="sq-AL"/>
        </w:rPr>
      </w:pPr>
      <w:r w:rsidRPr="00D240D3">
        <w:rPr>
          <w:b/>
          <w:lang w:val="sq-AL"/>
        </w:rPr>
        <w:t>Konferenca dhe/ose seminare një herë</w:t>
      </w:r>
      <w:r w:rsidRPr="00D240D3">
        <w:rPr>
          <w:lang w:val="sq-AL"/>
        </w:rPr>
        <w:t xml:space="preserve"> (konferencat dhe/ose punëtoritë financohen ekskluzivisht nëse ato janë pjesë e aktiviteteve më të gjera të cilat realizohen gjatë kohëzgjatjes së projektit të propozuar). Në këtë drejtim, shtypja e materialeve për konferenca dhe/ose seminare që nuk janë brenda aktiviteteve të miratuara nuk janë të pranueshme për financim. </w:t>
      </w:r>
    </w:p>
    <w:p w14:paraId="0A03BDF0" w14:textId="77777777" w:rsidR="00D240D3" w:rsidRPr="00D240D3" w:rsidRDefault="00D240D3" w:rsidP="00FA649A">
      <w:pPr>
        <w:numPr>
          <w:ilvl w:val="0"/>
          <w:numId w:val="1"/>
        </w:numPr>
        <w:spacing w:before="0" w:after="0" w:line="278" w:lineRule="auto"/>
        <w:rPr>
          <w:lang w:val="sq-AL"/>
        </w:rPr>
      </w:pPr>
      <w:r w:rsidRPr="00D240D3">
        <w:rPr>
          <w:lang w:val="sq-AL"/>
        </w:rPr>
        <w:t xml:space="preserve">Projektet që kanë të bëjnë ekskluzivisht me </w:t>
      </w:r>
      <w:r w:rsidRPr="00D240D3">
        <w:rPr>
          <w:b/>
          <w:lang w:val="sq-AL"/>
        </w:rPr>
        <w:t>prokurimin e pajisjeve ose punëve të infrastrukturës, këto mund të jenë të pranuara vetëm si pjesë e një projekti më të gjerë dhe të elaboruara si duhet në aplikacionin e projektit</w:t>
      </w:r>
      <w:r w:rsidRPr="00D240D3">
        <w:rPr>
          <w:lang w:val="sq-AL"/>
        </w:rPr>
        <w:t xml:space="preserve">. </w:t>
      </w:r>
    </w:p>
    <w:p w14:paraId="4C9A53BD" w14:textId="77777777" w:rsidR="00D240D3" w:rsidRPr="00D240D3" w:rsidRDefault="00D240D3" w:rsidP="00FA649A">
      <w:pPr>
        <w:numPr>
          <w:ilvl w:val="0"/>
          <w:numId w:val="1"/>
        </w:numPr>
        <w:spacing w:before="0" w:after="0" w:line="278" w:lineRule="auto"/>
        <w:rPr>
          <w:lang w:val="sq-AL"/>
        </w:rPr>
      </w:pPr>
      <w:r w:rsidRPr="00D240D3">
        <w:rPr>
          <w:lang w:val="sq-AL"/>
        </w:rPr>
        <w:t xml:space="preserve">Projektet që kanë të bëjnë ekskluzivisht me </w:t>
      </w:r>
      <w:r w:rsidRPr="00D240D3">
        <w:rPr>
          <w:b/>
          <w:lang w:val="sq-AL"/>
        </w:rPr>
        <w:t>prokurimin e tokës, ndërtesave ose zyrave</w:t>
      </w:r>
      <w:r w:rsidRPr="00D240D3">
        <w:rPr>
          <w:lang w:val="sq-AL"/>
        </w:rPr>
        <w:t xml:space="preserve">. </w:t>
      </w:r>
    </w:p>
    <w:p w14:paraId="16E1293E" w14:textId="77777777" w:rsidR="00D240D3" w:rsidRPr="00FA649A" w:rsidRDefault="00D240D3" w:rsidP="003F7DDF">
      <w:pPr>
        <w:pStyle w:val="Heading2"/>
        <w:rPr>
          <w:lang w:val="sq-AL"/>
        </w:rPr>
      </w:pPr>
      <w:bookmarkStart w:id="15" w:name="_Toc228786305"/>
      <w:r w:rsidRPr="00FA649A">
        <w:rPr>
          <w:lang w:val="sq-AL"/>
        </w:rPr>
        <w:lastRenderedPageBreak/>
        <w:t>9. Cilat shpenzime janë të pranueshme?</w:t>
      </w:r>
      <w:bookmarkEnd w:id="15"/>
    </w:p>
    <w:p w14:paraId="56F7FE1F" w14:textId="77777777" w:rsidR="00D240D3" w:rsidRPr="00D240D3" w:rsidRDefault="00D240D3" w:rsidP="00FA649A">
      <w:pPr>
        <w:spacing w:before="0" w:after="0" w:line="278" w:lineRule="auto"/>
        <w:rPr>
          <w:lang w:val="sq-AL"/>
        </w:rPr>
      </w:pPr>
      <w:r w:rsidRPr="00D240D3">
        <w:rPr>
          <w:lang w:val="sq-AL"/>
        </w:rPr>
        <w:t xml:space="preserve">Për shpenzime të pranueshme, të cilat do të paraqiten në buxhetin e aplikacionit (brenda tre zërave kryesorë të buxhetit), konsiderohen si më poshtë: </w:t>
      </w:r>
    </w:p>
    <w:p w14:paraId="6D9E844B" w14:textId="77777777" w:rsidR="00D240D3" w:rsidRPr="00D240D3" w:rsidRDefault="00D240D3" w:rsidP="00FA649A">
      <w:pPr>
        <w:spacing w:before="0" w:after="0" w:line="278" w:lineRule="auto"/>
        <w:rPr>
          <w:lang w:val="sq-AL"/>
        </w:rPr>
      </w:pPr>
      <w:r w:rsidRPr="00D240D3">
        <w:rPr>
          <w:u w:val="single"/>
          <w:lang w:val="sq-AL"/>
        </w:rPr>
        <w:t>I. Kostot për konsulentët e jashtëm (ekspertë individualë, firma këshillimi, etj.)</w:t>
      </w:r>
      <w:r w:rsidRPr="00D240D3">
        <w:rPr>
          <w:lang w:val="sq-AL"/>
        </w:rPr>
        <w:t xml:space="preserve"> </w:t>
      </w:r>
    </w:p>
    <w:p w14:paraId="75461400" w14:textId="77777777" w:rsidR="00D240D3" w:rsidRPr="00D240D3" w:rsidRDefault="00D240D3" w:rsidP="00FA649A">
      <w:pPr>
        <w:numPr>
          <w:ilvl w:val="0"/>
          <w:numId w:val="2"/>
        </w:numPr>
        <w:spacing w:before="0" w:after="0" w:line="278" w:lineRule="auto"/>
        <w:rPr>
          <w:lang w:val="sq-AL"/>
        </w:rPr>
      </w:pPr>
      <w:r w:rsidRPr="00D240D3">
        <w:rPr>
          <w:lang w:val="sq-AL"/>
        </w:rPr>
        <w:t xml:space="preserve">honorare dhe mëditje për angazhim të konsulentëve të jashtëm </w:t>
      </w:r>
    </w:p>
    <w:p w14:paraId="199D1062" w14:textId="77777777" w:rsidR="00D240D3" w:rsidRPr="00D240D3" w:rsidRDefault="00D240D3" w:rsidP="00FA649A">
      <w:pPr>
        <w:spacing w:before="0" w:after="0" w:line="278" w:lineRule="auto"/>
        <w:rPr>
          <w:lang w:val="sq-AL"/>
        </w:rPr>
      </w:pPr>
      <w:r w:rsidRPr="00D240D3">
        <w:rPr>
          <w:u w:val="single"/>
          <w:lang w:val="sq-AL"/>
        </w:rPr>
        <w:t>II. Kostot e operimit</w:t>
      </w:r>
      <w:r w:rsidRPr="00D240D3">
        <w:rPr>
          <w:lang w:val="sq-AL"/>
        </w:rPr>
        <w:t xml:space="preserve"> </w:t>
      </w:r>
    </w:p>
    <w:p w14:paraId="398A315B" w14:textId="77777777" w:rsidR="00D240D3" w:rsidRPr="00D240D3" w:rsidRDefault="00D240D3" w:rsidP="00FA649A">
      <w:pPr>
        <w:numPr>
          <w:ilvl w:val="0"/>
          <w:numId w:val="3"/>
        </w:numPr>
        <w:spacing w:before="0" w:after="0" w:line="278" w:lineRule="auto"/>
        <w:rPr>
          <w:lang w:val="sq-AL"/>
        </w:rPr>
      </w:pPr>
      <w:r w:rsidRPr="00D240D3">
        <w:rPr>
          <w:lang w:val="sq-AL"/>
        </w:rPr>
        <w:t xml:space="preserve">udhëtim dhe akomodim </w:t>
      </w:r>
    </w:p>
    <w:p w14:paraId="05943AEA" w14:textId="77777777" w:rsidR="00D240D3" w:rsidRPr="00D240D3" w:rsidRDefault="00D240D3" w:rsidP="00FA649A">
      <w:pPr>
        <w:numPr>
          <w:ilvl w:val="0"/>
          <w:numId w:val="3"/>
        </w:numPr>
        <w:spacing w:before="0" w:after="0" w:line="278" w:lineRule="auto"/>
        <w:rPr>
          <w:lang w:val="sq-AL"/>
        </w:rPr>
      </w:pPr>
      <w:r w:rsidRPr="00D240D3">
        <w:rPr>
          <w:lang w:val="sq-AL"/>
        </w:rPr>
        <w:t xml:space="preserve">përkthim </w:t>
      </w:r>
    </w:p>
    <w:p w14:paraId="22A4E818" w14:textId="77777777" w:rsidR="00D240D3" w:rsidRPr="00D240D3" w:rsidRDefault="00D240D3" w:rsidP="00FA649A">
      <w:pPr>
        <w:numPr>
          <w:ilvl w:val="0"/>
          <w:numId w:val="3"/>
        </w:numPr>
        <w:spacing w:before="0" w:after="0" w:line="278" w:lineRule="auto"/>
        <w:rPr>
          <w:lang w:val="sq-AL"/>
        </w:rPr>
      </w:pPr>
      <w:r w:rsidRPr="00D240D3">
        <w:rPr>
          <w:lang w:val="sq-AL"/>
        </w:rPr>
        <w:t xml:space="preserve">dokumentacione dhe botime </w:t>
      </w:r>
    </w:p>
    <w:p w14:paraId="2B68A654" w14:textId="77777777" w:rsidR="00D240D3" w:rsidRPr="00D240D3" w:rsidRDefault="00D240D3" w:rsidP="00FA649A">
      <w:pPr>
        <w:numPr>
          <w:ilvl w:val="0"/>
          <w:numId w:val="3"/>
        </w:numPr>
        <w:spacing w:before="0" w:after="0" w:line="278" w:lineRule="auto"/>
        <w:rPr>
          <w:lang w:val="sq-AL"/>
        </w:rPr>
      </w:pPr>
      <w:r w:rsidRPr="00D240D3">
        <w:rPr>
          <w:lang w:val="sq-AL"/>
        </w:rPr>
        <w:t xml:space="preserve">kostot për ngjarjet (trajnime, punëtori, ngjarje promovuese, etj.) </w:t>
      </w:r>
    </w:p>
    <w:p w14:paraId="68C1B489" w14:textId="77777777" w:rsidR="00D240D3" w:rsidRPr="00D240D3" w:rsidRDefault="00D240D3" w:rsidP="00FA649A">
      <w:pPr>
        <w:spacing w:before="0" w:after="0" w:line="278" w:lineRule="auto"/>
        <w:rPr>
          <w:lang w:val="sq-AL"/>
        </w:rPr>
      </w:pPr>
    </w:p>
    <w:p w14:paraId="7E5901A5" w14:textId="77777777" w:rsidR="00D240D3" w:rsidRPr="00D240D3" w:rsidRDefault="00D240D3" w:rsidP="00FA649A">
      <w:pPr>
        <w:spacing w:before="0" w:after="0" w:line="278" w:lineRule="auto"/>
        <w:rPr>
          <w:u w:val="single"/>
          <w:lang w:val="sq-AL"/>
        </w:rPr>
      </w:pPr>
      <w:r w:rsidRPr="00D240D3">
        <w:rPr>
          <w:u w:val="single"/>
          <w:lang w:val="sq-AL"/>
        </w:rPr>
        <w:t xml:space="preserve">III. Kostot e investimit </w:t>
      </w:r>
    </w:p>
    <w:p w14:paraId="37A100D1" w14:textId="77777777" w:rsidR="00D240D3" w:rsidRPr="00D240D3" w:rsidRDefault="00D240D3" w:rsidP="00FA649A">
      <w:pPr>
        <w:numPr>
          <w:ilvl w:val="0"/>
          <w:numId w:val="4"/>
        </w:numPr>
        <w:spacing w:before="0" w:after="0" w:line="278" w:lineRule="auto"/>
        <w:rPr>
          <w:lang w:val="sq-AL"/>
        </w:rPr>
      </w:pPr>
      <w:r w:rsidRPr="00D240D3">
        <w:rPr>
          <w:lang w:val="sq-AL"/>
        </w:rPr>
        <w:t xml:space="preserve">TI pajisje (hardver dhe softuer) </w:t>
      </w:r>
    </w:p>
    <w:p w14:paraId="36A91EBA" w14:textId="77777777" w:rsidR="00D240D3" w:rsidRPr="00D240D3" w:rsidRDefault="00D240D3" w:rsidP="00FA649A">
      <w:pPr>
        <w:numPr>
          <w:ilvl w:val="0"/>
          <w:numId w:val="4"/>
        </w:numPr>
        <w:spacing w:before="0" w:after="0" w:line="278" w:lineRule="auto"/>
        <w:rPr>
          <w:lang w:val="sq-AL"/>
        </w:rPr>
      </w:pPr>
      <w:r w:rsidRPr="00D240D3">
        <w:rPr>
          <w:lang w:val="sq-AL"/>
        </w:rPr>
        <w:t xml:space="preserve">Automjete dhe pajisje të tjera për përforcim të kapaciteteve për mbrojtje nga rreziqet dhe fatkeqësitë </w:t>
      </w:r>
    </w:p>
    <w:p w14:paraId="110CA661" w14:textId="77777777" w:rsidR="00D240D3" w:rsidRPr="00D240D3" w:rsidRDefault="00D240D3" w:rsidP="00FA649A">
      <w:pPr>
        <w:numPr>
          <w:ilvl w:val="0"/>
          <w:numId w:val="4"/>
        </w:numPr>
        <w:spacing w:before="0" w:after="0" w:line="278" w:lineRule="auto"/>
        <w:rPr>
          <w:lang w:val="sq-AL"/>
        </w:rPr>
      </w:pPr>
      <w:r w:rsidRPr="00D240D3">
        <w:rPr>
          <w:lang w:val="sq-AL"/>
        </w:rPr>
        <w:t xml:space="preserve">Mobilje dhe pajisje për zyre dhe </w:t>
      </w:r>
    </w:p>
    <w:p w14:paraId="2D57A4CA" w14:textId="77777777" w:rsidR="00D240D3" w:rsidRPr="00D240D3" w:rsidRDefault="00D240D3" w:rsidP="00FA649A">
      <w:pPr>
        <w:numPr>
          <w:ilvl w:val="0"/>
          <w:numId w:val="4"/>
        </w:numPr>
        <w:spacing w:before="0" w:after="0" w:line="278" w:lineRule="auto"/>
        <w:rPr>
          <w:lang w:val="sq-AL"/>
        </w:rPr>
      </w:pPr>
      <w:r w:rsidRPr="00D240D3">
        <w:rPr>
          <w:lang w:val="sq-AL"/>
        </w:rPr>
        <w:t xml:space="preserve">Shpenzime të vogla infrastrukturore </w:t>
      </w:r>
    </w:p>
    <w:p w14:paraId="1659B326" w14:textId="77777777" w:rsidR="00D240D3" w:rsidRPr="00D240D3" w:rsidRDefault="00D240D3" w:rsidP="00FA649A">
      <w:pPr>
        <w:numPr>
          <w:ilvl w:val="0"/>
          <w:numId w:val="4"/>
        </w:numPr>
        <w:spacing w:before="0" w:after="0" w:line="278" w:lineRule="auto"/>
        <w:rPr>
          <w:lang w:val="sq-AL"/>
        </w:rPr>
      </w:pPr>
      <w:r w:rsidRPr="00D240D3">
        <w:rPr>
          <w:lang w:val="sq-AL"/>
        </w:rPr>
        <w:t>Tjetër</w:t>
      </w:r>
    </w:p>
    <w:p w14:paraId="0A3A8383" w14:textId="77777777" w:rsidR="00D240D3" w:rsidRDefault="00D240D3" w:rsidP="00FA649A">
      <w:pPr>
        <w:spacing w:before="0" w:after="0" w:line="278" w:lineRule="auto"/>
        <w:rPr>
          <w:lang w:val="mk-MK"/>
        </w:rPr>
      </w:pPr>
    </w:p>
    <w:p w14:paraId="3AA0F383" w14:textId="77777777" w:rsidR="00D240D3" w:rsidRPr="00FA649A" w:rsidRDefault="00D240D3" w:rsidP="003F7DDF">
      <w:pPr>
        <w:pStyle w:val="Heading2"/>
        <w:rPr>
          <w:lang w:val="sq-AL"/>
        </w:rPr>
      </w:pPr>
      <w:bookmarkStart w:id="16" w:name="_Toc228786306"/>
      <w:r w:rsidRPr="00FA649A">
        <w:rPr>
          <w:lang w:val="sq-AL"/>
        </w:rPr>
        <w:t>10. Lidhja e kontratave me persona të jashtëm / operatorë ekonomik</w:t>
      </w:r>
      <w:bookmarkEnd w:id="16"/>
    </w:p>
    <w:p w14:paraId="4BAAB7DE" w14:textId="77777777" w:rsidR="00D240D3" w:rsidRPr="00D240D3" w:rsidRDefault="00D240D3" w:rsidP="00FA649A">
      <w:pPr>
        <w:spacing w:after="160" w:line="278" w:lineRule="auto"/>
        <w:jc w:val="both"/>
        <w:rPr>
          <w:lang w:val="sq-AL"/>
        </w:rPr>
      </w:pPr>
      <w:r w:rsidRPr="00D240D3">
        <w:rPr>
          <w:lang w:val="sq-AL"/>
        </w:rPr>
        <w:t xml:space="preserve">Aplikacionet të cilat do të përzgjidhen për mbështetje, do të realizohen nga ana e të punësuarve në komuna dhe institucionet/organizatat partnere në bashkëpunim me ekipin e projektit dhe përfaqësuesit e Byrosë për zhvillim rajonal. Në rastet kur komunat partnere kanë nevojë të përfshijnë ekspertë të jashtëm për detyra specifike, ata do të jenë të angazhuar nga ana e UNDP-së përmes projektit. Do të lidhen kontrata për realizimin e detyrave të këtilla me ekspertë të jashtëm (të vendit dhe të huaj). Cili do qoftë aktivitet për të cilin propozohet lidhja e kontratës duhet të sqarohet në mënyrë të detajuar në Aplikacion. </w:t>
      </w:r>
    </w:p>
    <w:p w14:paraId="4D2E90F4" w14:textId="77777777" w:rsidR="00D240D3" w:rsidRPr="00FA649A" w:rsidRDefault="00D240D3" w:rsidP="003F7DDF">
      <w:pPr>
        <w:pStyle w:val="Heading2"/>
        <w:rPr>
          <w:lang w:val="sq-AL"/>
        </w:rPr>
      </w:pPr>
      <w:bookmarkStart w:id="17" w:name="_Toc228786307"/>
      <w:r w:rsidRPr="00FA649A">
        <w:rPr>
          <w:lang w:val="sq-AL"/>
        </w:rPr>
        <w:t>10.1 Të punësuarit në komuna/qendrat</w:t>
      </w:r>
      <w:bookmarkEnd w:id="17"/>
    </w:p>
    <w:p w14:paraId="3DA7BB98" w14:textId="77777777" w:rsidR="00D240D3" w:rsidRPr="00D240D3" w:rsidRDefault="00D240D3" w:rsidP="00FA649A">
      <w:pPr>
        <w:spacing w:after="160" w:line="278" w:lineRule="auto"/>
        <w:jc w:val="both"/>
        <w:rPr>
          <w:lang w:val="sq-AL"/>
        </w:rPr>
      </w:pPr>
      <w:r w:rsidRPr="00D240D3">
        <w:rPr>
          <w:lang w:val="sq-AL"/>
        </w:rPr>
        <w:t xml:space="preserve">Të punësuarit në komuna dhe në Qendrat për zhvillim të rajoneve planore/organizatat e shoqërisë civile që marrin pjesë në projekt në asnjë rast nuk mund të marrin kompensim për kryerjen e detyrave për realizimin e projektit. Pjesëmarrja e tyre do të konsiderohet si kofinancim me të mira dhe shërbime (in kind) brenda bashkëpunimit të propozuar. Këto mjete nuk do të merren parasysh gjatë vlerësimit.  </w:t>
      </w:r>
    </w:p>
    <w:p w14:paraId="04201BB1" w14:textId="77777777" w:rsidR="00D240D3" w:rsidRPr="00FA649A" w:rsidRDefault="00D240D3" w:rsidP="003F7DDF">
      <w:pPr>
        <w:pStyle w:val="Heading2"/>
        <w:rPr>
          <w:lang w:val="sq-AL"/>
        </w:rPr>
      </w:pPr>
      <w:bookmarkStart w:id="18" w:name="_Toc228786308"/>
      <w:r w:rsidRPr="00FA649A">
        <w:rPr>
          <w:lang w:val="sq-AL"/>
        </w:rPr>
        <w:t>10.2 Konsulentë të jashtëm</w:t>
      </w:r>
      <w:bookmarkEnd w:id="18"/>
    </w:p>
    <w:p w14:paraId="63C1EC68" w14:textId="77777777" w:rsidR="00D240D3" w:rsidRPr="00D240D3" w:rsidRDefault="00D240D3" w:rsidP="00FA649A">
      <w:pPr>
        <w:spacing w:after="160" w:line="278" w:lineRule="auto"/>
        <w:jc w:val="both"/>
        <w:rPr>
          <w:lang w:val="sq-AL"/>
        </w:rPr>
      </w:pPr>
      <w:r w:rsidRPr="00D240D3">
        <w:rPr>
          <w:lang w:val="sq-AL"/>
        </w:rPr>
        <w:t xml:space="preserve">Nëpunësit shtetërorë nga komuna të tjera dhe Qendrat për zhvillimin e rajoneve planore/organizatave të shoqërisë civile që nuk janë pjesë e projektit mund të angazhohen si trajnues/konsulentë në përputhje me legjislacionin kombëtar. Mund të angazhohen konsulentë të pavarur (ekspertë, firma këshilluese ose organizata të shoqërisë civile) dhe profesionistë të tjerë. Pjesëmarrja e organizatave të shoqërisë civile është e mundur vetëm në rastet kur organizata ka përvojë përkatëse në temat prioritare të projektit dhe mund të ketë vlerë të shtuar në propozim projektin. Pjesëmarrja e tyre duhet të shpjegohet në mënyrë adekuate në aplikacion. </w:t>
      </w:r>
    </w:p>
    <w:p w14:paraId="43E950F6" w14:textId="4B084F01" w:rsidR="00D240D3" w:rsidRPr="00FA649A" w:rsidRDefault="00D240D3" w:rsidP="003F7DDF">
      <w:pPr>
        <w:pStyle w:val="Heading2"/>
        <w:rPr>
          <w:lang w:val="sq-AL"/>
        </w:rPr>
      </w:pPr>
      <w:r w:rsidRPr="00D240D3">
        <w:rPr>
          <w:lang w:val="sq-AL"/>
        </w:rPr>
        <w:lastRenderedPageBreak/>
        <w:t xml:space="preserve">  </w:t>
      </w:r>
      <w:bookmarkStart w:id="19" w:name="_Toc228786309"/>
      <w:r w:rsidRPr="00FA649A">
        <w:rPr>
          <w:lang w:val="sq-AL"/>
        </w:rPr>
        <w:t>11. Shpenzime të cilat nuk mbulohen me grantin</w:t>
      </w:r>
      <w:bookmarkEnd w:id="19"/>
      <w:r w:rsidRPr="00FA649A">
        <w:rPr>
          <w:lang w:val="sq-AL"/>
        </w:rPr>
        <w:t xml:space="preserve"> </w:t>
      </w:r>
    </w:p>
    <w:p w14:paraId="68D3D032" w14:textId="77777777" w:rsidR="00D240D3" w:rsidRPr="00D240D3" w:rsidRDefault="00D240D3" w:rsidP="00FA649A">
      <w:pPr>
        <w:spacing w:before="0" w:after="0" w:line="278" w:lineRule="auto"/>
        <w:rPr>
          <w:lang w:val="sq-AL"/>
        </w:rPr>
      </w:pPr>
      <w:r w:rsidRPr="00D240D3">
        <w:rPr>
          <w:lang w:val="sq-AL"/>
        </w:rPr>
        <w:t xml:space="preserve">Shpenzimet të cilat janë cekur më poshtë nuk mbulohen nga projektet nga kjo thirrje: </w:t>
      </w:r>
    </w:p>
    <w:p w14:paraId="20E6FE69" w14:textId="77777777" w:rsidR="00D240D3" w:rsidRPr="00D240D3" w:rsidRDefault="00D240D3" w:rsidP="00FA649A">
      <w:pPr>
        <w:spacing w:before="0" w:after="0" w:line="278" w:lineRule="auto"/>
        <w:rPr>
          <w:lang w:val="sq-AL"/>
        </w:rPr>
      </w:pPr>
    </w:p>
    <w:p w14:paraId="58BAB95E" w14:textId="77777777" w:rsidR="00D240D3" w:rsidRPr="00D240D3" w:rsidRDefault="00D240D3" w:rsidP="00FA649A">
      <w:pPr>
        <w:numPr>
          <w:ilvl w:val="0"/>
          <w:numId w:val="1"/>
        </w:numPr>
        <w:spacing w:before="0" w:after="0" w:line="278" w:lineRule="auto"/>
        <w:rPr>
          <w:lang w:val="sq-AL"/>
        </w:rPr>
      </w:pPr>
      <w:r w:rsidRPr="00D240D3">
        <w:rPr>
          <w:lang w:val="sq-AL"/>
        </w:rPr>
        <w:t>Shpenzime për TVSH.</w:t>
      </w:r>
    </w:p>
    <w:p w14:paraId="0E661FF8" w14:textId="77777777" w:rsidR="00D240D3" w:rsidRPr="00D240D3" w:rsidRDefault="00D240D3" w:rsidP="00FA649A">
      <w:pPr>
        <w:numPr>
          <w:ilvl w:val="0"/>
          <w:numId w:val="1"/>
        </w:numPr>
        <w:spacing w:before="0" w:after="0" w:line="278" w:lineRule="auto"/>
        <w:rPr>
          <w:lang w:val="sq-AL"/>
        </w:rPr>
      </w:pPr>
      <w:r w:rsidRPr="00D240D3">
        <w:rPr>
          <w:lang w:val="sq-AL"/>
        </w:rPr>
        <w:t xml:space="preserve">Rroga për nëpunësit shtetëror dhe të punësuarit në komunat parashtruese dhe partnere. Kontributi i tyre në projekt do të konsiderohet si kontribut në shërbime nga komunat parashtruese dhe/ose partnere </w:t>
      </w:r>
    </w:p>
    <w:p w14:paraId="7EE5383E" w14:textId="77777777" w:rsidR="00D240D3" w:rsidRPr="00D240D3" w:rsidRDefault="00D240D3" w:rsidP="00FA649A">
      <w:pPr>
        <w:numPr>
          <w:ilvl w:val="0"/>
          <w:numId w:val="1"/>
        </w:numPr>
        <w:spacing w:before="0" w:after="0" w:line="278" w:lineRule="auto"/>
        <w:rPr>
          <w:lang w:val="sq-AL"/>
        </w:rPr>
      </w:pPr>
      <w:r w:rsidRPr="00D240D3">
        <w:rPr>
          <w:lang w:val="sq-AL"/>
        </w:rPr>
        <w:t>Tatim personal për individët të cilët janë të angazhuar për realizimin e aktiviteteve të projektit.</w:t>
      </w:r>
    </w:p>
    <w:p w14:paraId="669F9F1B" w14:textId="67F5F2C2" w:rsidR="00D240D3" w:rsidRPr="00FA649A" w:rsidRDefault="00D240D3" w:rsidP="003F7DDF">
      <w:pPr>
        <w:pStyle w:val="Heading2"/>
        <w:rPr>
          <w:lang w:val="sq-AL"/>
        </w:rPr>
      </w:pPr>
      <w:r w:rsidRPr="00D240D3">
        <w:rPr>
          <w:lang w:val="sq-AL"/>
        </w:rPr>
        <w:t xml:space="preserve"> </w:t>
      </w:r>
      <w:bookmarkStart w:id="20" w:name="_Toc228786310"/>
      <w:r w:rsidRPr="00FA649A">
        <w:rPr>
          <w:lang w:val="sq-AL"/>
        </w:rPr>
        <w:t>12. Evaluimi i projekteve për bashkëpunimit ndërkomunal</w:t>
      </w:r>
      <w:bookmarkEnd w:id="20"/>
      <w:r w:rsidRPr="00FA649A">
        <w:rPr>
          <w:lang w:val="sq-AL"/>
        </w:rPr>
        <w:t xml:space="preserve"> </w:t>
      </w:r>
    </w:p>
    <w:p w14:paraId="7FD55046" w14:textId="77777777" w:rsidR="00D240D3" w:rsidRPr="00D240D3" w:rsidRDefault="00D240D3" w:rsidP="00D240D3">
      <w:pPr>
        <w:spacing w:after="160" w:line="278" w:lineRule="auto"/>
        <w:rPr>
          <w:lang w:val="sq-AL"/>
        </w:rPr>
      </w:pPr>
      <w:r w:rsidRPr="00D240D3">
        <w:rPr>
          <w:lang w:val="sq-AL"/>
        </w:rPr>
        <w:t xml:space="preserve">Për të kryer evaluimin dhe përzgjedhjen e aplikacioneve të paraqitura për bashkëpunim ndërkomunal, formohet ekipi për evaluim. Ekipin e përbëjnë dy anëtarë nga UNDP dhe një anëtar - përfaqësues i Byrosë për zhvillim rajonal. Në punën e ekipit për evaluim si vëzhgues do të ftohen nga një përfaqësues nga Ministria e vetëqeverisjes lokale dhe BNJVL. Ekipi i evaluimit të projekteve për BNK ka sekretar i cili përgatit procesin e evaluimit dhe përzgjedhjes dhe mban procesverbal për procesin. Sekretari i ekipit të evaluimit dhe përzgjedhjes së projekteve për bashkëpunim ndërkomunal është anëtar i ekipit të Programit për BNK të UNDP-së. </w:t>
      </w:r>
    </w:p>
    <w:p w14:paraId="7962B60C" w14:textId="77777777" w:rsidR="00D240D3" w:rsidRPr="00D240D3" w:rsidRDefault="00D240D3" w:rsidP="00D240D3">
      <w:pPr>
        <w:spacing w:after="160" w:line="278" w:lineRule="auto"/>
        <w:rPr>
          <w:lang w:val="sq-AL"/>
        </w:rPr>
      </w:pPr>
      <w:r w:rsidRPr="00D240D3">
        <w:rPr>
          <w:lang w:val="sq-AL"/>
        </w:rPr>
        <w:t xml:space="preserve">Evaluimi i propozimeve bëhet në dy faza. </w:t>
      </w:r>
    </w:p>
    <w:p w14:paraId="193698D2" w14:textId="77777777" w:rsidR="00D240D3" w:rsidRPr="00D240D3" w:rsidRDefault="00D240D3" w:rsidP="00D240D3">
      <w:pPr>
        <w:spacing w:after="160" w:line="278" w:lineRule="auto"/>
        <w:rPr>
          <w:lang w:val="sq-AL"/>
        </w:rPr>
      </w:pPr>
      <w:r w:rsidRPr="00D240D3">
        <w:rPr>
          <w:b/>
          <w:lang w:val="sq-AL"/>
        </w:rPr>
        <w:t>(a) Faza e paraselektimit:</w:t>
      </w:r>
      <w:r w:rsidRPr="00D240D3">
        <w:rPr>
          <w:lang w:val="sq-AL"/>
        </w:rPr>
        <w:t xml:space="preserve"> kjo përfaqëson fazën e parë në procesin e evaluimit. Përbëhet nga verifikimi i aplikimeve të fituara për përshtatshmëri nga aspekti administrativ, bazuar në listën e vlerësimit të përshtatshmërisë administrative (shih 17.1). </w:t>
      </w:r>
    </w:p>
    <w:p w14:paraId="0BE0BA0A" w14:textId="77777777" w:rsidR="00D240D3" w:rsidRPr="00D240D3" w:rsidRDefault="00D240D3" w:rsidP="00D240D3">
      <w:pPr>
        <w:spacing w:after="160" w:line="278" w:lineRule="auto"/>
        <w:rPr>
          <w:lang w:val="sq-AL"/>
        </w:rPr>
      </w:pPr>
      <w:r w:rsidRPr="00D240D3">
        <w:rPr>
          <w:b/>
          <w:lang w:val="sq-AL"/>
        </w:rPr>
        <w:t>(b) Faza e selektimit:</w:t>
      </w:r>
      <w:r w:rsidRPr="00D240D3">
        <w:rPr>
          <w:lang w:val="sq-AL"/>
        </w:rPr>
        <w:t xml:space="preserve"> Aplikacionet të cilat do të kalojnë fazën e paraselektimit vazhdojnë me verifikimin e aspekteve teknike, në bazë të tabelës për vlerësim të përshtatshmërisë teknike (shih 17.2). Ekipi për evaluim i vlerëson aplikacionet me dhënien e pikave në pyetjet e caktuara – kriteret teknike për evaluim.</w:t>
      </w:r>
    </w:p>
    <w:p w14:paraId="53E4A232" w14:textId="77777777" w:rsidR="00D240D3" w:rsidRPr="00FA649A" w:rsidRDefault="00D240D3" w:rsidP="003F7DDF">
      <w:pPr>
        <w:pStyle w:val="Heading2"/>
        <w:rPr>
          <w:lang w:val="sq-AL"/>
        </w:rPr>
      </w:pPr>
      <w:bookmarkStart w:id="21" w:name="_Toc228786311"/>
      <w:r w:rsidRPr="00FA649A">
        <w:rPr>
          <w:lang w:val="sq-AL"/>
        </w:rPr>
        <w:t>13. Si është e organizuar procedura për evaluim dhe zgjedhje?</w:t>
      </w:r>
      <w:bookmarkEnd w:id="21"/>
    </w:p>
    <w:p w14:paraId="052F3873" w14:textId="77777777" w:rsidR="00D240D3" w:rsidRPr="00D240D3" w:rsidRDefault="00D240D3" w:rsidP="00FA649A">
      <w:pPr>
        <w:numPr>
          <w:ilvl w:val="0"/>
          <w:numId w:val="5"/>
        </w:numPr>
        <w:spacing w:before="0" w:after="0" w:line="278" w:lineRule="auto"/>
        <w:rPr>
          <w:lang w:val="sq-AL"/>
        </w:rPr>
      </w:pPr>
      <w:r w:rsidRPr="00D240D3">
        <w:rPr>
          <w:lang w:val="sq-AL"/>
        </w:rPr>
        <w:t xml:space="preserve">UNDP i evidenton të gjitha propozim projektet të cilat arrijnë. </w:t>
      </w:r>
    </w:p>
    <w:p w14:paraId="7F9556E9" w14:textId="77777777" w:rsidR="00D240D3" w:rsidRPr="00D240D3" w:rsidRDefault="00D240D3" w:rsidP="00FA649A">
      <w:pPr>
        <w:numPr>
          <w:ilvl w:val="0"/>
          <w:numId w:val="5"/>
        </w:numPr>
        <w:spacing w:before="0" w:after="0" w:line="278" w:lineRule="auto"/>
        <w:rPr>
          <w:lang w:val="sq-AL"/>
        </w:rPr>
      </w:pPr>
      <w:r w:rsidRPr="00D240D3">
        <w:rPr>
          <w:lang w:val="sq-AL"/>
        </w:rPr>
        <w:t xml:space="preserve">Anëtarët e ekipit për evaluim nënshkruajnë letër për paanshmëri para se të fillojë procesi i evaluimit. </w:t>
      </w:r>
    </w:p>
    <w:p w14:paraId="1F341F42" w14:textId="77777777" w:rsidR="00D240D3" w:rsidRPr="00D240D3" w:rsidRDefault="00D240D3" w:rsidP="00FA649A">
      <w:pPr>
        <w:numPr>
          <w:ilvl w:val="0"/>
          <w:numId w:val="5"/>
        </w:numPr>
        <w:spacing w:before="0" w:after="0" w:line="278" w:lineRule="auto"/>
        <w:rPr>
          <w:lang w:val="sq-AL"/>
        </w:rPr>
      </w:pPr>
      <w:r w:rsidRPr="00D240D3">
        <w:rPr>
          <w:lang w:val="sq-AL"/>
        </w:rPr>
        <w:t xml:space="preserve">Ekipi për evaluim është përgjegjës për evaluim të propozimeve nga aspekti i pranueshmërisë administrative dhe për evaluimin e kualitetit teknik dhe financiar të propozimeve. </w:t>
      </w:r>
    </w:p>
    <w:p w14:paraId="2D9FEF22" w14:textId="77777777" w:rsidR="00D240D3" w:rsidRPr="00D240D3" w:rsidRDefault="00D240D3" w:rsidP="00FA649A">
      <w:pPr>
        <w:numPr>
          <w:ilvl w:val="0"/>
          <w:numId w:val="5"/>
        </w:numPr>
        <w:spacing w:before="0" w:after="0" w:line="278" w:lineRule="auto"/>
        <w:rPr>
          <w:lang w:val="sq-AL"/>
        </w:rPr>
      </w:pPr>
      <w:r w:rsidRPr="00D240D3">
        <w:rPr>
          <w:lang w:val="sq-AL"/>
        </w:rPr>
        <w:t xml:space="preserve">Ekipi për evaluim e vlerëson çdo propozim në bazë të kritereve për evaluim (seksioni 17), mban Proçesverbal dhe i sjell rekomandimet dhe vendimet e veta në formë të Raportit nga evaluimi. </w:t>
      </w:r>
    </w:p>
    <w:p w14:paraId="6BA5C21E" w14:textId="77777777" w:rsidR="00D240D3" w:rsidRPr="00D240D3" w:rsidRDefault="00D240D3" w:rsidP="00FA649A">
      <w:pPr>
        <w:numPr>
          <w:ilvl w:val="0"/>
          <w:numId w:val="5"/>
        </w:numPr>
        <w:spacing w:before="0" w:after="0" w:line="278" w:lineRule="auto"/>
        <w:rPr>
          <w:lang w:val="sq-AL"/>
        </w:rPr>
      </w:pPr>
      <w:r w:rsidRPr="00D240D3">
        <w:rPr>
          <w:lang w:val="sq-AL"/>
        </w:rPr>
        <w:t xml:space="preserve">Raporti nga evaluimi dërgohet deri te Këshilli i projektit për miratim. </w:t>
      </w:r>
    </w:p>
    <w:p w14:paraId="5114DFC6" w14:textId="77777777" w:rsidR="00D240D3" w:rsidRPr="00D240D3" w:rsidRDefault="00D240D3" w:rsidP="00FA649A">
      <w:pPr>
        <w:numPr>
          <w:ilvl w:val="0"/>
          <w:numId w:val="5"/>
        </w:numPr>
        <w:spacing w:before="0" w:after="0" w:line="278" w:lineRule="auto"/>
        <w:rPr>
          <w:lang w:val="sq-AL"/>
        </w:rPr>
      </w:pPr>
      <w:r w:rsidRPr="00D240D3">
        <w:rPr>
          <w:lang w:val="sq-AL"/>
        </w:rPr>
        <w:t xml:space="preserve">UNDP me pëlqim paraprak nga Byroja ka të drejtë të kërkojë nga parashtruesit e suksesshëm të bëjnë modifikime të propozimeve të tyre (modifikime të aktiviteteve dhe buxhetit) në përputhje me standardet e UNDP para se të lidh kontratën me komunat konkrete. </w:t>
      </w:r>
    </w:p>
    <w:p w14:paraId="28D997E8" w14:textId="77777777" w:rsidR="00D240D3" w:rsidRPr="00D240D3" w:rsidRDefault="00D240D3" w:rsidP="00FA649A">
      <w:pPr>
        <w:numPr>
          <w:ilvl w:val="0"/>
          <w:numId w:val="5"/>
        </w:numPr>
        <w:spacing w:before="0" w:after="0" w:line="278" w:lineRule="auto"/>
        <w:rPr>
          <w:lang w:val="sq-AL"/>
        </w:rPr>
      </w:pPr>
      <w:r w:rsidRPr="00D240D3">
        <w:rPr>
          <w:lang w:val="sq-AL"/>
        </w:rPr>
        <w:lastRenderedPageBreak/>
        <w:t xml:space="preserve">UNDP i njofton me shkrim të gjithë parashtruesit për rezultatet nga procesi i evaluimit dhe përzgjedhjes. </w:t>
      </w:r>
    </w:p>
    <w:p w14:paraId="3EA5651D" w14:textId="77777777" w:rsidR="00D240D3" w:rsidRPr="00D240D3" w:rsidRDefault="00D240D3" w:rsidP="00FA649A">
      <w:pPr>
        <w:numPr>
          <w:ilvl w:val="0"/>
          <w:numId w:val="5"/>
        </w:numPr>
        <w:spacing w:before="0" w:after="0" w:line="278" w:lineRule="auto"/>
        <w:rPr>
          <w:lang w:val="sq-AL"/>
        </w:rPr>
      </w:pPr>
      <w:r w:rsidRPr="00D240D3">
        <w:rPr>
          <w:lang w:val="sq-AL"/>
        </w:rPr>
        <w:t xml:space="preserve">Rezultatet finale për procesin e selektimit do të shpallën publikisht ne ueb faqen e Byrosë për zhvillim rajonal dhe UNDP-së. </w:t>
      </w:r>
    </w:p>
    <w:p w14:paraId="25DD1869" w14:textId="77777777" w:rsidR="00D240D3" w:rsidRPr="00FA649A" w:rsidRDefault="00D240D3" w:rsidP="003F7DDF">
      <w:pPr>
        <w:pStyle w:val="Heading2"/>
        <w:rPr>
          <w:lang w:val="sq-AL"/>
        </w:rPr>
      </w:pPr>
      <w:bookmarkStart w:id="22" w:name="_Toc228786312"/>
      <w:r w:rsidRPr="00FA649A">
        <w:rPr>
          <w:lang w:val="sq-AL"/>
        </w:rPr>
        <w:t>14. Modalitetet për realizimin e projektit</w:t>
      </w:r>
      <w:bookmarkEnd w:id="22"/>
    </w:p>
    <w:p w14:paraId="2DFE2B12" w14:textId="59E91EAA" w:rsidR="00D240D3" w:rsidRPr="00D240D3" w:rsidRDefault="00D240D3" w:rsidP="00FA649A">
      <w:pPr>
        <w:spacing w:after="160" w:line="278" w:lineRule="auto"/>
        <w:jc w:val="both"/>
        <w:rPr>
          <w:lang w:val="sq-AL"/>
        </w:rPr>
      </w:pPr>
      <w:r w:rsidRPr="00D240D3">
        <w:rPr>
          <w:lang w:val="sq-AL"/>
        </w:rPr>
        <w:t xml:space="preserve">UNDP do të nënshkruajë një marrëveshje bashkëpunimi për projektin me </w:t>
      </w:r>
      <w:r w:rsidRPr="00E34415">
        <w:rPr>
          <w:lang w:val="sq-AL"/>
        </w:rPr>
        <w:t xml:space="preserve">komunat e zgjedhura. Gjuha e kontratës është anglishtja. Fillimi zyrtar i projekteve është qershori i </w:t>
      </w:r>
      <w:r w:rsidR="00CF1FF4" w:rsidRPr="00E34415">
        <w:rPr>
          <w:lang w:val="sq-AL"/>
        </w:rPr>
        <w:t xml:space="preserve">vitit </w:t>
      </w:r>
      <w:r w:rsidRPr="00E34415">
        <w:rPr>
          <w:lang w:val="sq-AL"/>
        </w:rPr>
        <w:t>202</w:t>
      </w:r>
      <w:r w:rsidR="00FA649A" w:rsidRPr="00E34415">
        <w:rPr>
          <w:lang w:val="mk-MK"/>
        </w:rPr>
        <w:t>6</w:t>
      </w:r>
      <w:r w:rsidRPr="00E34415">
        <w:rPr>
          <w:lang w:val="sq-AL"/>
        </w:rPr>
        <w:t>.</w:t>
      </w:r>
      <w:r w:rsidRPr="00D240D3">
        <w:rPr>
          <w:lang w:val="sq-AL"/>
        </w:rPr>
        <w:t xml:space="preserve"> </w:t>
      </w:r>
    </w:p>
    <w:p w14:paraId="10EA12B0" w14:textId="77777777" w:rsidR="00D240D3" w:rsidRPr="00D240D3" w:rsidRDefault="00D240D3" w:rsidP="00FA649A">
      <w:pPr>
        <w:spacing w:after="160" w:line="278" w:lineRule="auto"/>
        <w:jc w:val="both"/>
        <w:rPr>
          <w:u w:val="single"/>
          <w:lang w:val="sq-AL"/>
        </w:rPr>
      </w:pPr>
      <w:r w:rsidRPr="00D240D3">
        <w:rPr>
          <w:u w:val="single"/>
          <w:lang w:val="sq-AL"/>
        </w:rPr>
        <w:t xml:space="preserve">Të gjitha shpenzimet e parashikuara në projekt do të paguhen direkt nga UNDP. Marrëveshja për bashkëpunim për projektin </w:t>
      </w:r>
      <w:r w:rsidRPr="00D240D3">
        <w:rPr>
          <w:b/>
          <w:u w:val="single"/>
          <w:lang w:val="sq-AL"/>
        </w:rPr>
        <w:t>nuk</w:t>
      </w:r>
      <w:r w:rsidRPr="00D240D3">
        <w:rPr>
          <w:u w:val="single"/>
          <w:lang w:val="sq-AL"/>
        </w:rPr>
        <w:t xml:space="preserve"> parashikon transferin e mjeteve nga UNDP deri te komunat e selektuara. Aplikuesi kryesor e ka përgjegjësinë për realizimin e projektit dhe realizimin e aktiviteteve. Komuna udhëheqëse do të marrë pjesë në përmbushjen e përgjegjësive administrative dhe financiare për realizimin e projektit. Komuna udhëheqëse do të jetë përgjegjëse për dorëzimin e raporteve të projektit.</w:t>
      </w:r>
    </w:p>
    <w:p w14:paraId="4B0A537B" w14:textId="77777777" w:rsidR="00D240D3" w:rsidRPr="00FA649A" w:rsidRDefault="00D240D3" w:rsidP="003F7DDF">
      <w:pPr>
        <w:pStyle w:val="Heading2"/>
        <w:rPr>
          <w:lang w:val="sq-AL"/>
        </w:rPr>
      </w:pPr>
      <w:bookmarkStart w:id="23" w:name="_Toc228786313"/>
      <w:r w:rsidRPr="00FA649A">
        <w:rPr>
          <w:lang w:val="sq-AL"/>
        </w:rPr>
        <w:t>15. Menaxhimi dhe monitorimi</w:t>
      </w:r>
      <w:bookmarkEnd w:id="23"/>
    </w:p>
    <w:p w14:paraId="66316CF9" w14:textId="77777777" w:rsidR="00D240D3" w:rsidRPr="00D240D3" w:rsidRDefault="00D240D3" w:rsidP="00D240D3">
      <w:pPr>
        <w:spacing w:after="160" w:line="278" w:lineRule="auto"/>
        <w:rPr>
          <w:lang w:val="sq-AL"/>
        </w:rPr>
      </w:pPr>
      <w:r w:rsidRPr="00D240D3">
        <w:rPr>
          <w:lang w:val="sq-AL"/>
        </w:rPr>
        <w:t>Me fillimin e zbatimit të projekteve, ekipi i projektit i UNDP-së e zbaton monitorimin dhe evaluimin e realizimit.</w:t>
      </w:r>
    </w:p>
    <w:p w14:paraId="3F9AFACD" w14:textId="77777777" w:rsidR="00D240D3" w:rsidRPr="00D240D3" w:rsidRDefault="00D240D3" w:rsidP="00FA649A">
      <w:pPr>
        <w:spacing w:before="0" w:after="0" w:line="278" w:lineRule="auto"/>
        <w:jc w:val="both"/>
        <w:rPr>
          <w:lang w:val="sq-AL"/>
        </w:rPr>
      </w:pPr>
      <w:r w:rsidRPr="00D240D3">
        <w:rPr>
          <w:lang w:val="sq-AL"/>
        </w:rPr>
        <w:t>Ekipi i projektit për BNK e kryen koordinimin dhe merr pjesë në vizitat monitoruese, i pranon dhe vlerëson raportet e kërkuara të projektit dhe i miraton raportet përfundimtare. Raportet që janë të rëndësishme për vendimmarrje në lidhje me përparimin ose finalizimin e projekteve dorëzohen të Këshilli i projektit për aprovim. Ekipi i projektit të UNDP-së në bashkëpunim me Byronë për zhvillim rajonal organizojnë vizita në terren me qëllim që të ofrojnë mbështetje profesionale dhe nga afër të monitorojnë zbatimin e projekteve.</w:t>
      </w:r>
    </w:p>
    <w:p w14:paraId="54F2AA8D" w14:textId="77777777" w:rsidR="00D240D3" w:rsidRPr="00D240D3" w:rsidRDefault="00D240D3" w:rsidP="00FA649A">
      <w:pPr>
        <w:spacing w:before="0" w:after="0" w:line="278" w:lineRule="auto"/>
        <w:jc w:val="both"/>
        <w:rPr>
          <w:lang w:val="sq-AL"/>
        </w:rPr>
      </w:pPr>
      <w:r w:rsidRPr="00D240D3">
        <w:rPr>
          <w:lang w:val="sq-AL"/>
        </w:rPr>
        <w:t xml:space="preserve">Procesi i monitorimit dhe raportimit kryhet sipas procedurave standarde. Monitorimi dhe evaluimi i projektit bazohet në një vlerësim mujor për progresin e ofrimit të të rezultateve/aktiviteteve specifike dhe arritjen e qëllimeve të projektit. Të gjitha raportet dorëzohen deri te UNDP – Programi për BNK. </w:t>
      </w:r>
    </w:p>
    <w:p w14:paraId="31204715" w14:textId="77777777" w:rsidR="00D240D3" w:rsidRPr="00D240D3" w:rsidRDefault="00D240D3" w:rsidP="00FA649A">
      <w:pPr>
        <w:spacing w:before="0" w:after="0" w:line="278" w:lineRule="auto"/>
        <w:jc w:val="both"/>
        <w:rPr>
          <w:lang w:val="sq-AL"/>
        </w:rPr>
      </w:pPr>
      <w:r w:rsidRPr="00D240D3">
        <w:rPr>
          <w:lang w:val="sq-AL"/>
        </w:rPr>
        <w:t xml:space="preserve">Një bazë e të dhënave e projekteve për BNK do të krijohet që nga fillimi i thirrjes për propozime. Kjo bazë e të dhënave do të jetë një mjet për menaxhimin dhe monitorimin e procesit të implementimit. Të gjitha aplikacionet të cilat do të arrijnë, projektet e zgjedhura dhe raportet do të jenë pjesë e kësaj baze të të dhënave. </w:t>
      </w:r>
    </w:p>
    <w:p w14:paraId="2C7D5272" w14:textId="77777777" w:rsidR="00D240D3" w:rsidRPr="00D240D3" w:rsidRDefault="00D240D3" w:rsidP="00FA649A">
      <w:pPr>
        <w:spacing w:before="0" w:after="0" w:line="278" w:lineRule="auto"/>
        <w:jc w:val="both"/>
        <w:rPr>
          <w:lang w:val="sq-AL"/>
        </w:rPr>
      </w:pPr>
      <w:r w:rsidRPr="00D240D3">
        <w:rPr>
          <w:lang w:val="sq-AL"/>
        </w:rPr>
        <w:t xml:space="preserve">Për më tepër, ekipi i projektit i UNDP-së kryen detyrat në vijim: </w:t>
      </w:r>
    </w:p>
    <w:p w14:paraId="03D0B8CC" w14:textId="77777777" w:rsidR="00D240D3" w:rsidRPr="00D240D3" w:rsidRDefault="00D240D3" w:rsidP="00FA649A">
      <w:pPr>
        <w:numPr>
          <w:ilvl w:val="0"/>
          <w:numId w:val="5"/>
        </w:numPr>
        <w:spacing w:before="0" w:after="0" w:line="278" w:lineRule="auto"/>
        <w:rPr>
          <w:lang w:val="sq-AL"/>
        </w:rPr>
      </w:pPr>
      <w:r w:rsidRPr="00D240D3">
        <w:rPr>
          <w:lang w:val="sq-AL"/>
        </w:rPr>
        <w:t xml:space="preserve">Merr pjesë në promovimin dhe ngritjen e vetëdijes për projektin në të gjitha mënyrat e mundshme, në bashkëpunim me partnerët e përfshirë në projekt. </w:t>
      </w:r>
    </w:p>
    <w:p w14:paraId="794E0E4C" w14:textId="77777777" w:rsidR="00D240D3" w:rsidRPr="00D240D3" w:rsidRDefault="00D240D3" w:rsidP="00FA649A">
      <w:pPr>
        <w:numPr>
          <w:ilvl w:val="0"/>
          <w:numId w:val="5"/>
        </w:numPr>
        <w:spacing w:before="0" w:after="0" w:line="278" w:lineRule="auto"/>
        <w:rPr>
          <w:lang w:val="sq-AL"/>
        </w:rPr>
      </w:pPr>
      <w:r w:rsidRPr="00D240D3">
        <w:rPr>
          <w:lang w:val="sq-AL"/>
        </w:rPr>
        <w:t xml:space="preserve">Siguron mbështetje dhe ndihmë në procesin e përgatitjes së propozimeve për të gjithë ata që do të kërkojnë ndihmë, veçanërisht për komunat me kapacitete më të ulëta. </w:t>
      </w:r>
    </w:p>
    <w:p w14:paraId="42876F8C" w14:textId="77777777" w:rsidR="00D240D3" w:rsidRPr="00D240D3" w:rsidRDefault="00D240D3" w:rsidP="00FA649A">
      <w:pPr>
        <w:numPr>
          <w:ilvl w:val="0"/>
          <w:numId w:val="5"/>
        </w:numPr>
        <w:spacing w:before="0" w:after="0" w:line="278" w:lineRule="auto"/>
        <w:rPr>
          <w:lang w:val="sq-AL"/>
        </w:rPr>
      </w:pPr>
      <w:r w:rsidRPr="00D240D3">
        <w:rPr>
          <w:lang w:val="sq-AL"/>
        </w:rPr>
        <w:t xml:space="preserve">Jep trajnime për komunat e zgjedhura në fushën e BNK-së. </w:t>
      </w:r>
    </w:p>
    <w:p w14:paraId="60CF241A" w14:textId="77777777" w:rsidR="00D240D3" w:rsidRPr="00D240D3" w:rsidRDefault="00D240D3" w:rsidP="00FA649A">
      <w:pPr>
        <w:numPr>
          <w:ilvl w:val="0"/>
          <w:numId w:val="5"/>
        </w:numPr>
        <w:spacing w:before="0" w:after="0" w:line="278" w:lineRule="auto"/>
        <w:rPr>
          <w:lang w:val="sq-AL"/>
        </w:rPr>
      </w:pPr>
      <w:r w:rsidRPr="00D240D3">
        <w:rPr>
          <w:lang w:val="sq-AL"/>
        </w:rPr>
        <w:t xml:space="preserve">Siguron mbështetje në përgatitjen e raporteve të rregullta. </w:t>
      </w:r>
    </w:p>
    <w:p w14:paraId="05A8D5E9" w14:textId="77777777" w:rsidR="00D240D3" w:rsidRPr="00D240D3" w:rsidRDefault="00D240D3" w:rsidP="00FA649A">
      <w:pPr>
        <w:numPr>
          <w:ilvl w:val="0"/>
          <w:numId w:val="5"/>
        </w:numPr>
        <w:spacing w:before="0" w:after="0" w:line="278" w:lineRule="auto"/>
        <w:rPr>
          <w:lang w:val="sq-AL"/>
        </w:rPr>
      </w:pPr>
      <w:r w:rsidRPr="00D240D3">
        <w:rPr>
          <w:lang w:val="sq-AL"/>
        </w:rPr>
        <w:t xml:space="preserve">Kryen monitorimin e realizimit të aktiviteteve të miratuara të projektit. </w:t>
      </w:r>
    </w:p>
    <w:p w14:paraId="392304AA" w14:textId="77777777" w:rsidR="00D240D3" w:rsidRPr="00D240D3" w:rsidRDefault="00D240D3" w:rsidP="00FA649A">
      <w:pPr>
        <w:numPr>
          <w:ilvl w:val="0"/>
          <w:numId w:val="5"/>
        </w:numPr>
        <w:spacing w:before="0" w:after="0" w:line="278" w:lineRule="auto"/>
        <w:rPr>
          <w:lang w:val="sq-AL"/>
        </w:rPr>
      </w:pPr>
      <w:r w:rsidRPr="00D240D3">
        <w:rPr>
          <w:lang w:val="sq-AL"/>
        </w:rPr>
        <w:t xml:space="preserve">Kryen integrimin efektiv të informacioneve të projektit në bazën e të dhënave për BNK. </w:t>
      </w:r>
    </w:p>
    <w:p w14:paraId="0F76D05E" w14:textId="77777777" w:rsidR="00D240D3" w:rsidRPr="00D240D3" w:rsidRDefault="00D240D3" w:rsidP="00FA649A">
      <w:pPr>
        <w:numPr>
          <w:ilvl w:val="0"/>
          <w:numId w:val="5"/>
        </w:numPr>
        <w:spacing w:before="0" w:after="0" w:line="278" w:lineRule="auto"/>
        <w:rPr>
          <w:lang w:val="sq-AL"/>
        </w:rPr>
      </w:pPr>
      <w:r w:rsidRPr="00D240D3">
        <w:rPr>
          <w:lang w:val="sq-AL"/>
        </w:rPr>
        <w:t>Zbaton procedurat e prokurimit publik dhe paguan furnitorët.</w:t>
      </w:r>
    </w:p>
    <w:p w14:paraId="5C245B1F" w14:textId="77777777" w:rsidR="00D240D3" w:rsidRPr="00D240D3" w:rsidRDefault="00D240D3" w:rsidP="00D240D3">
      <w:pPr>
        <w:spacing w:after="160" w:line="278" w:lineRule="auto"/>
        <w:rPr>
          <w:b/>
          <w:lang w:val="sq-AL"/>
        </w:rPr>
      </w:pPr>
      <w:r w:rsidRPr="00D240D3">
        <w:rPr>
          <w:lang w:val="sq-AL"/>
        </w:rPr>
        <w:t xml:space="preserve"> </w:t>
      </w:r>
    </w:p>
    <w:p w14:paraId="79C89E35" w14:textId="77777777" w:rsidR="00D240D3" w:rsidRPr="00FA649A" w:rsidRDefault="00D240D3" w:rsidP="00BC3886">
      <w:pPr>
        <w:pStyle w:val="Heading2"/>
        <w:rPr>
          <w:lang w:val="sq-AL"/>
        </w:rPr>
      </w:pPr>
      <w:bookmarkStart w:id="24" w:name="_Toc228786314"/>
      <w:r w:rsidRPr="00FA649A">
        <w:rPr>
          <w:lang w:val="sq-AL"/>
        </w:rPr>
        <w:t>16. Cilat janë obligimet në lidhje me parashtrimin e raporteve?</w:t>
      </w:r>
      <w:bookmarkEnd w:id="24"/>
      <w:r w:rsidRPr="00FA649A">
        <w:rPr>
          <w:lang w:val="sq-AL"/>
        </w:rPr>
        <w:t xml:space="preserve"> </w:t>
      </w:r>
    </w:p>
    <w:p w14:paraId="206A5150" w14:textId="77777777" w:rsidR="00D240D3" w:rsidRPr="00D240D3" w:rsidRDefault="00D240D3" w:rsidP="00FA649A">
      <w:pPr>
        <w:spacing w:before="0" w:after="0" w:line="278" w:lineRule="auto"/>
        <w:rPr>
          <w:lang w:val="sq-AL"/>
        </w:rPr>
      </w:pPr>
      <w:r w:rsidRPr="00D240D3">
        <w:rPr>
          <w:lang w:val="sq-AL"/>
        </w:rPr>
        <w:lastRenderedPageBreak/>
        <w:t xml:space="preserve">Komuna që është aplikuesi kryesor është e obliguar që të paraqesë raportet e mëposhtme: </w:t>
      </w:r>
    </w:p>
    <w:p w14:paraId="7DD81225" w14:textId="77777777" w:rsidR="00D240D3" w:rsidRPr="00D240D3" w:rsidRDefault="00D240D3" w:rsidP="00FA649A">
      <w:pPr>
        <w:spacing w:before="0" w:after="0" w:line="278" w:lineRule="auto"/>
        <w:rPr>
          <w:lang w:val="sq-AL"/>
        </w:rPr>
      </w:pPr>
      <w:r w:rsidRPr="00D240D3">
        <w:rPr>
          <w:lang w:val="sq-AL"/>
        </w:rPr>
        <w:t xml:space="preserve">• Raportin përfundimtar i dorëzuar me përfundimin e projektit. </w:t>
      </w:r>
    </w:p>
    <w:p w14:paraId="653D1C2A" w14:textId="77777777" w:rsidR="00D240D3" w:rsidRPr="00D240D3" w:rsidRDefault="00D240D3" w:rsidP="00FA649A">
      <w:pPr>
        <w:spacing w:before="0" w:after="0" w:line="278" w:lineRule="auto"/>
        <w:rPr>
          <w:lang w:val="sq-AL"/>
        </w:rPr>
      </w:pPr>
      <w:r w:rsidRPr="00D240D3">
        <w:rPr>
          <w:lang w:val="sq-AL"/>
        </w:rPr>
        <w:t>Ekipi i projektit i UNDP-së, projekteve të suksesshme ju siguron një kopje të formularëve për përgatitjen e raporteve të mësipërme në përputhje me procedurat dhe kërkesat e brendshme.</w:t>
      </w:r>
    </w:p>
    <w:p w14:paraId="746E5870" w14:textId="77777777" w:rsidR="00D240D3" w:rsidRPr="00FA649A" w:rsidRDefault="00D240D3" w:rsidP="00BC3886">
      <w:pPr>
        <w:pStyle w:val="Heading2"/>
        <w:rPr>
          <w:lang w:val="sq-AL"/>
        </w:rPr>
      </w:pPr>
      <w:r w:rsidRPr="00D240D3">
        <w:rPr>
          <w:lang w:val="sq-AL"/>
        </w:rPr>
        <w:t xml:space="preserve"> </w:t>
      </w:r>
      <w:bookmarkStart w:id="25" w:name="_Toc228786315"/>
      <w:r w:rsidRPr="00FA649A">
        <w:rPr>
          <w:lang w:val="sq-AL"/>
        </w:rPr>
        <w:t>17. Kriteret për evaluim dhe zgjedhje të aplikacioneve të parashtruara</w:t>
      </w:r>
      <w:bookmarkEnd w:id="25"/>
    </w:p>
    <w:p w14:paraId="67ED37C9" w14:textId="77777777" w:rsidR="00D240D3" w:rsidRPr="00D240D3" w:rsidRDefault="00D240D3" w:rsidP="00FA649A">
      <w:pPr>
        <w:spacing w:before="0" w:after="0" w:line="278" w:lineRule="auto"/>
        <w:rPr>
          <w:lang w:val="sq-AL"/>
        </w:rPr>
      </w:pPr>
      <w:r w:rsidRPr="00D240D3">
        <w:rPr>
          <w:lang w:val="sq-AL"/>
        </w:rPr>
        <w:t xml:space="preserve">Ekipi për evaluim i shqyrton të gjitha propozimet e pranuara në pajtim me kriteret e përshkruara më poshtë. Evaluimi i aplikacioneve bëhet në dy faza: </w:t>
      </w:r>
    </w:p>
    <w:p w14:paraId="12820CF6" w14:textId="77777777" w:rsidR="00D240D3" w:rsidRPr="00D240D3" w:rsidRDefault="00D240D3" w:rsidP="00FA649A">
      <w:pPr>
        <w:numPr>
          <w:ilvl w:val="0"/>
          <w:numId w:val="6"/>
        </w:numPr>
        <w:spacing w:before="0" w:after="0" w:line="278" w:lineRule="auto"/>
        <w:rPr>
          <w:lang w:val="sq-AL"/>
        </w:rPr>
      </w:pPr>
      <w:r w:rsidRPr="00D240D3">
        <w:rPr>
          <w:lang w:val="sq-AL"/>
        </w:rPr>
        <w:t xml:space="preserve">Përshtatshmëria administrative dhe </w:t>
      </w:r>
    </w:p>
    <w:p w14:paraId="22380546" w14:textId="77777777" w:rsidR="00D240D3" w:rsidRPr="00D240D3" w:rsidRDefault="00D240D3" w:rsidP="00FA649A">
      <w:pPr>
        <w:numPr>
          <w:ilvl w:val="0"/>
          <w:numId w:val="6"/>
        </w:numPr>
        <w:spacing w:before="0" w:after="0" w:line="278" w:lineRule="auto"/>
        <w:rPr>
          <w:lang w:val="sq-AL"/>
        </w:rPr>
      </w:pPr>
      <w:r w:rsidRPr="00D240D3">
        <w:rPr>
          <w:lang w:val="sq-AL"/>
        </w:rPr>
        <w:t>Përshtatshmëria teknike.</w:t>
      </w:r>
    </w:p>
    <w:p w14:paraId="4819D556" w14:textId="5716FFA3" w:rsidR="00D240D3" w:rsidRPr="003F7DDF" w:rsidRDefault="00D240D3" w:rsidP="003F7DDF">
      <w:pPr>
        <w:pStyle w:val="Heading2"/>
        <w:rPr>
          <w:lang w:val="mk-MK"/>
        </w:rPr>
      </w:pPr>
      <w:bookmarkStart w:id="26" w:name="_Toc228786316"/>
      <w:r w:rsidRPr="00D240D3">
        <w:rPr>
          <w:lang w:val="sq-AL"/>
        </w:rPr>
        <w:t>17.1 Përshtatshmëria administrative</w:t>
      </w:r>
      <w:bookmarkEnd w:id="26"/>
      <w:r w:rsidRPr="00D240D3">
        <w:rPr>
          <w:lang w:val="sq-AL"/>
        </w:rPr>
        <w:t xml:space="preserve"> </w:t>
      </w:r>
    </w:p>
    <w:p w14:paraId="221A0C7A" w14:textId="77777777" w:rsidR="00D240D3" w:rsidRPr="00D240D3" w:rsidRDefault="00D240D3" w:rsidP="00D240D3">
      <w:pPr>
        <w:spacing w:after="160" w:line="278" w:lineRule="auto"/>
        <w:rPr>
          <w:lang w:val="sq-AL"/>
        </w:rPr>
      </w:pPr>
      <w:r w:rsidRPr="00D240D3">
        <w:rPr>
          <w:lang w:val="sq-AL"/>
        </w:rPr>
        <w:t>Që projekti të pranohet administrativisht, është e nevojshme ti plotësoje kriteret e mëposhtme:</w:t>
      </w:r>
    </w:p>
    <w:tbl>
      <w:tblPr>
        <w:tblStyle w:val="TableGrid"/>
        <w:tblW w:w="0" w:type="auto"/>
        <w:tblLook w:val="04A0" w:firstRow="1" w:lastRow="0" w:firstColumn="1" w:lastColumn="0" w:noHBand="0" w:noVBand="1"/>
      </w:tblPr>
      <w:tblGrid>
        <w:gridCol w:w="9350"/>
      </w:tblGrid>
      <w:tr w:rsidR="00D240D3" w:rsidRPr="00D240D3" w14:paraId="0493780F" w14:textId="77777777" w:rsidTr="00FA649A">
        <w:trPr>
          <w:trHeight w:val="323"/>
        </w:trPr>
        <w:tc>
          <w:tcPr>
            <w:tcW w:w="10456" w:type="dxa"/>
            <w:tcBorders>
              <w:top w:val="single" w:sz="4" w:space="0" w:color="auto"/>
              <w:left w:val="single" w:sz="4" w:space="0" w:color="auto"/>
              <w:bottom w:val="single" w:sz="4" w:space="0" w:color="auto"/>
              <w:right w:val="single" w:sz="4" w:space="0" w:color="auto"/>
            </w:tcBorders>
          </w:tcPr>
          <w:p w14:paraId="5C5D5BB1" w14:textId="77777777" w:rsidR="00D240D3" w:rsidRPr="00D240D3" w:rsidRDefault="00D240D3" w:rsidP="003F7DDF">
            <w:pPr>
              <w:spacing w:before="0" w:line="278" w:lineRule="auto"/>
              <w:rPr>
                <w:rFonts w:eastAsiaTheme="minorHAnsi"/>
                <w:kern w:val="2"/>
                <w:sz w:val="24"/>
                <w:szCs w:val="24"/>
                <w:lang w:val="sq-AL"/>
                <w14:ligatures w14:val="standardContextual"/>
              </w:rPr>
            </w:pPr>
          </w:p>
        </w:tc>
      </w:tr>
      <w:tr w:rsidR="00D240D3" w:rsidRPr="00D240D3" w14:paraId="293B9D21" w14:textId="77777777">
        <w:tc>
          <w:tcPr>
            <w:tcW w:w="10456" w:type="dxa"/>
            <w:tcBorders>
              <w:top w:val="single" w:sz="4" w:space="0" w:color="auto"/>
              <w:left w:val="single" w:sz="4" w:space="0" w:color="auto"/>
              <w:bottom w:val="single" w:sz="4" w:space="0" w:color="auto"/>
              <w:right w:val="single" w:sz="4" w:space="0" w:color="auto"/>
            </w:tcBorders>
            <w:hideMark/>
          </w:tcPr>
          <w:p w14:paraId="28719A5D"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janë të gjithë aplikuesit njësi të vetëqeverisjes lokale?</w:t>
            </w:r>
          </w:p>
        </w:tc>
      </w:tr>
      <w:tr w:rsidR="00D240D3" w:rsidRPr="00D240D3" w14:paraId="19ADA400" w14:textId="77777777">
        <w:tc>
          <w:tcPr>
            <w:tcW w:w="10456" w:type="dxa"/>
            <w:tcBorders>
              <w:top w:val="single" w:sz="4" w:space="0" w:color="auto"/>
              <w:left w:val="single" w:sz="4" w:space="0" w:color="auto"/>
              <w:bottom w:val="single" w:sz="4" w:space="0" w:color="auto"/>
              <w:right w:val="single" w:sz="4" w:space="0" w:color="auto"/>
            </w:tcBorders>
            <w:hideMark/>
          </w:tcPr>
          <w:p w14:paraId="6F07CF6E"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 xml:space="preserve">A përfshin projekti për vendosjen e bashkëpunimit ndërkomunal partneritet të dy ose më shumë komunave? </w:t>
            </w:r>
          </w:p>
        </w:tc>
      </w:tr>
      <w:tr w:rsidR="00D240D3" w:rsidRPr="00D240D3" w14:paraId="0CE534E3" w14:textId="77777777">
        <w:tc>
          <w:tcPr>
            <w:tcW w:w="10456" w:type="dxa"/>
            <w:tcBorders>
              <w:top w:val="single" w:sz="4" w:space="0" w:color="auto"/>
              <w:left w:val="single" w:sz="4" w:space="0" w:color="auto"/>
              <w:bottom w:val="single" w:sz="4" w:space="0" w:color="auto"/>
              <w:right w:val="single" w:sz="4" w:space="0" w:color="auto"/>
            </w:tcBorders>
            <w:hideMark/>
          </w:tcPr>
          <w:p w14:paraId="3579635A" w14:textId="458BBBFB"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 xml:space="preserve">A </w:t>
            </w:r>
            <w:r w:rsidRPr="00D240D3">
              <w:rPr>
                <w:rFonts w:eastAsiaTheme="minorHAnsi"/>
                <w:b/>
                <w:kern w:val="2"/>
                <w:sz w:val="24"/>
                <w:szCs w:val="24"/>
                <w:lang w:val="sq-AL"/>
                <w14:ligatures w14:val="standardContextual"/>
              </w:rPr>
              <w:t>nuk</w:t>
            </w:r>
            <w:r w:rsidRPr="00D240D3">
              <w:rPr>
                <w:rFonts w:eastAsiaTheme="minorHAnsi"/>
                <w:kern w:val="2"/>
                <w:sz w:val="24"/>
                <w:szCs w:val="24"/>
                <w:lang w:val="sq-AL"/>
                <w14:ligatures w14:val="standardContextual"/>
              </w:rPr>
              <w:t xml:space="preserve"> kanë qenë komunat në kuadër të Thirrjes </w:t>
            </w:r>
            <w:r w:rsidRPr="00E34415">
              <w:rPr>
                <w:rFonts w:eastAsiaTheme="minorHAnsi"/>
                <w:kern w:val="2"/>
                <w:sz w:val="24"/>
                <w:szCs w:val="24"/>
                <w:lang w:val="sq-AL"/>
                <w14:ligatures w14:val="standardContextual"/>
              </w:rPr>
              <w:t xml:space="preserve">së </w:t>
            </w:r>
            <w:r w:rsidR="00FA649A" w:rsidRPr="00E34415">
              <w:rPr>
                <w:rFonts w:eastAsiaTheme="minorHAnsi"/>
                <w:kern w:val="2"/>
                <w:sz w:val="24"/>
                <w:szCs w:val="24"/>
                <w:lang w:val="sq-AL"/>
                <w14:ligatures w14:val="standardContextual"/>
              </w:rPr>
              <w:t>Parë dhe të Dytë</w:t>
            </w:r>
            <w:r w:rsidRPr="00D240D3">
              <w:rPr>
                <w:rFonts w:eastAsiaTheme="minorHAnsi"/>
                <w:kern w:val="2"/>
                <w:sz w:val="24"/>
                <w:szCs w:val="24"/>
                <w:lang w:val="sq-AL"/>
                <w14:ligatures w14:val="standardContextual"/>
              </w:rPr>
              <w:t xml:space="preserve"> të projektit</w:t>
            </w:r>
            <w:r w:rsidRPr="00D240D3">
              <w:rPr>
                <w:rFonts w:eastAsiaTheme="minorHAnsi"/>
                <w:kern w:val="2"/>
                <w:sz w:val="24"/>
                <w:szCs w:val="24"/>
                <w:vertAlign w:val="superscript"/>
                <w:lang w:val="sq-AL"/>
                <w14:ligatures w14:val="standardContextual"/>
              </w:rPr>
              <w:footnoteReference w:id="1"/>
            </w:r>
          </w:p>
        </w:tc>
      </w:tr>
      <w:tr w:rsidR="00D240D3" w:rsidRPr="00D240D3" w14:paraId="0DD57C6A" w14:textId="77777777">
        <w:tc>
          <w:tcPr>
            <w:tcW w:w="10456" w:type="dxa"/>
            <w:tcBorders>
              <w:top w:val="single" w:sz="4" w:space="0" w:color="auto"/>
              <w:left w:val="single" w:sz="4" w:space="0" w:color="auto"/>
              <w:bottom w:val="single" w:sz="4" w:space="0" w:color="auto"/>
              <w:right w:val="single" w:sz="4" w:space="0" w:color="auto"/>
            </w:tcBorders>
            <w:hideMark/>
          </w:tcPr>
          <w:p w14:paraId="502A9CFD"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 xml:space="preserve">A ka dorëzuar komuna vetëm një propozim si aplikues kryesor?* </w:t>
            </w:r>
          </w:p>
        </w:tc>
      </w:tr>
      <w:tr w:rsidR="00D240D3" w:rsidRPr="00D240D3" w14:paraId="32A5F226" w14:textId="77777777">
        <w:tc>
          <w:tcPr>
            <w:tcW w:w="10456" w:type="dxa"/>
            <w:tcBorders>
              <w:top w:val="single" w:sz="4" w:space="0" w:color="auto"/>
              <w:left w:val="single" w:sz="4" w:space="0" w:color="auto"/>
              <w:bottom w:val="single" w:sz="4" w:space="0" w:color="auto"/>
              <w:right w:val="single" w:sz="4" w:space="0" w:color="auto"/>
            </w:tcBorders>
            <w:hideMark/>
          </w:tcPr>
          <w:p w14:paraId="5212B491"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 xml:space="preserve">A shoqërohet aplikacioni me një Deklaratë për partneritet (si Shtojcë 1 e veçantë e aplikacionit) e nënshkruar nga kryetarët e komunave dhe kryetarët e këshillave të komunave dhe e vulosur nga komuna? Ku propozohet përfshirja e Qendrave për zhvillim të rajoneve planore dhe/ose e organizatave të shoqërisë civile, a shoqërohet aplikacioni me një deklaratë për partneritet të nënshkruar nga Kryetari i Këshillit të rajonit planor dhe Kryetari i organizatës së shoqërisë civile?  </w:t>
            </w:r>
          </w:p>
        </w:tc>
      </w:tr>
      <w:tr w:rsidR="00D240D3" w:rsidRPr="00D240D3" w14:paraId="03B8F7D0" w14:textId="77777777">
        <w:tc>
          <w:tcPr>
            <w:tcW w:w="10456" w:type="dxa"/>
            <w:tcBorders>
              <w:top w:val="single" w:sz="4" w:space="0" w:color="auto"/>
              <w:left w:val="single" w:sz="4" w:space="0" w:color="auto"/>
              <w:bottom w:val="single" w:sz="4" w:space="0" w:color="auto"/>
              <w:right w:val="single" w:sz="4" w:space="0" w:color="auto"/>
            </w:tcBorders>
            <w:hideMark/>
          </w:tcPr>
          <w:p w14:paraId="23475C9F"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e kanë nënshkruar dhe vulosur kryetarët e të gjitha NJVL-ve të përfshira në bashkëpunim, Letrën për obligim (e cila parashtrohet si Shtojcë 2 e veçantë e formularit për aplikim) ku deklarojnë se të gjitha aktivitetet e ndërmarra në lidhje me projektin e propozuar janë dhe do të jenë plotësisht në përputhje me legjislacionin vendas?</w:t>
            </w:r>
          </w:p>
        </w:tc>
      </w:tr>
      <w:tr w:rsidR="00D240D3" w:rsidRPr="00D240D3" w14:paraId="3FE9CC19" w14:textId="77777777">
        <w:tc>
          <w:tcPr>
            <w:tcW w:w="10456" w:type="dxa"/>
            <w:tcBorders>
              <w:top w:val="single" w:sz="4" w:space="0" w:color="auto"/>
              <w:left w:val="single" w:sz="4" w:space="0" w:color="auto"/>
              <w:bottom w:val="single" w:sz="4" w:space="0" w:color="auto"/>
              <w:right w:val="single" w:sz="4" w:space="0" w:color="auto"/>
            </w:tcBorders>
            <w:hideMark/>
          </w:tcPr>
          <w:p w14:paraId="6A0794F1"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është projekti brenda qëllimit të thirrjes siç përshkruhet në Udhëzimet operative për aplikim?</w:t>
            </w:r>
          </w:p>
        </w:tc>
      </w:tr>
      <w:tr w:rsidR="00D240D3" w:rsidRPr="00D240D3" w14:paraId="66A3C001" w14:textId="77777777">
        <w:tc>
          <w:tcPr>
            <w:tcW w:w="10456" w:type="dxa"/>
            <w:tcBorders>
              <w:top w:val="single" w:sz="4" w:space="0" w:color="auto"/>
              <w:left w:val="single" w:sz="4" w:space="0" w:color="auto"/>
              <w:bottom w:val="single" w:sz="4" w:space="0" w:color="auto"/>
              <w:right w:val="single" w:sz="4" w:space="0" w:color="auto"/>
            </w:tcBorders>
            <w:hideMark/>
          </w:tcPr>
          <w:p w14:paraId="0747C02A"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lastRenderedPageBreak/>
              <w:t>A është bashkëpunimi i propozuar ndërkomunal një formë inovative e bashkëpunimit apo është një nga format e BNK-së sipas Ligjit për bashkëpunim ndërkomunal?</w:t>
            </w:r>
          </w:p>
        </w:tc>
      </w:tr>
      <w:tr w:rsidR="00D240D3" w:rsidRPr="00D240D3" w14:paraId="1D2722A0" w14:textId="77777777">
        <w:tc>
          <w:tcPr>
            <w:tcW w:w="10456" w:type="dxa"/>
            <w:tcBorders>
              <w:top w:val="single" w:sz="4" w:space="0" w:color="auto"/>
              <w:left w:val="single" w:sz="4" w:space="0" w:color="auto"/>
              <w:bottom w:val="single" w:sz="4" w:space="0" w:color="auto"/>
              <w:right w:val="single" w:sz="4" w:space="0" w:color="auto"/>
            </w:tcBorders>
            <w:hideMark/>
          </w:tcPr>
          <w:p w14:paraId="3309E1C5" w14:textId="77777777" w:rsidR="00D240D3" w:rsidRPr="00D240D3" w:rsidRDefault="00D240D3" w:rsidP="003F7DDF">
            <w:pPr>
              <w:numPr>
                <w:ilvl w:val="0"/>
                <w:numId w:val="7"/>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është e paraqitur qartë shuma totale e kofinancimit në Letrën për obligim dhe a është plotësuar kushti prej minimum 20% të kofinancimit në para të gatshme?</w:t>
            </w:r>
          </w:p>
        </w:tc>
      </w:tr>
      <w:tr w:rsidR="00D240D3" w:rsidRPr="00D240D3" w14:paraId="13EEF775" w14:textId="77777777">
        <w:tc>
          <w:tcPr>
            <w:tcW w:w="10456" w:type="dxa"/>
            <w:tcBorders>
              <w:top w:val="single" w:sz="4" w:space="0" w:color="auto"/>
              <w:left w:val="single" w:sz="4" w:space="0" w:color="auto"/>
              <w:bottom w:val="single" w:sz="4" w:space="0" w:color="auto"/>
              <w:right w:val="single" w:sz="4" w:space="0" w:color="auto"/>
            </w:tcBorders>
            <w:hideMark/>
          </w:tcPr>
          <w:p w14:paraId="016828B9" w14:textId="77777777" w:rsidR="00D240D3" w:rsidRPr="00D240D3" w:rsidRDefault="00D240D3" w:rsidP="003F7DDF">
            <w:pPr>
              <w:numPr>
                <w:ilvl w:val="0"/>
                <w:numId w:val="8"/>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janë plotësuar të gjitha pjesët e aplikacionit?</w:t>
            </w:r>
          </w:p>
        </w:tc>
      </w:tr>
      <w:tr w:rsidR="00D240D3" w:rsidRPr="00D240D3" w14:paraId="50D636BB" w14:textId="77777777">
        <w:tc>
          <w:tcPr>
            <w:tcW w:w="10456" w:type="dxa"/>
            <w:tcBorders>
              <w:top w:val="single" w:sz="4" w:space="0" w:color="auto"/>
              <w:left w:val="single" w:sz="4" w:space="0" w:color="auto"/>
              <w:bottom w:val="single" w:sz="4" w:space="0" w:color="auto"/>
              <w:right w:val="single" w:sz="4" w:space="0" w:color="auto"/>
            </w:tcBorders>
            <w:hideMark/>
          </w:tcPr>
          <w:p w14:paraId="51980A76" w14:textId="77777777" w:rsidR="00D240D3" w:rsidRPr="00D240D3" w:rsidRDefault="00D240D3" w:rsidP="003F7DDF">
            <w:pPr>
              <w:numPr>
                <w:ilvl w:val="0"/>
                <w:numId w:val="8"/>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është dorëzuar buxheti me përshkrim të hollësishëm të shpenzimeve dhe me arsyetimin e duhur?</w:t>
            </w:r>
          </w:p>
        </w:tc>
      </w:tr>
      <w:tr w:rsidR="00D240D3" w:rsidRPr="00D240D3" w14:paraId="74B2A980" w14:textId="77777777">
        <w:tc>
          <w:tcPr>
            <w:tcW w:w="10456" w:type="dxa"/>
            <w:tcBorders>
              <w:top w:val="single" w:sz="4" w:space="0" w:color="auto"/>
              <w:left w:val="single" w:sz="4" w:space="0" w:color="auto"/>
              <w:bottom w:val="single" w:sz="4" w:space="0" w:color="auto"/>
              <w:right w:val="single" w:sz="4" w:space="0" w:color="auto"/>
            </w:tcBorders>
            <w:hideMark/>
          </w:tcPr>
          <w:p w14:paraId="44FE8EA2" w14:textId="77777777" w:rsidR="00D240D3" w:rsidRPr="00D240D3" w:rsidRDefault="00D240D3" w:rsidP="003F7DDF">
            <w:pPr>
              <w:numPr>
                <w:ilvl w:val="0"/>
                <w:numId w:val="8"/>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është granti i kërkuar i UNDP brenda kufijve të përcaktuar në Udhëzimet operative, USD?</w:t>
            </w:r>
          </w:p>
        </w:tc>
      </w:tr>
      <w:tr w:rsidR="00D240D3" w:rsidRPr="00D240D3" w14:paraId="59ACDE3D" w14:textId="77777777">
        <w:tc>
          <w:tcPr>
            <w:tcW w:w="10456" w:type="dxa"/>
            <w:tcBorders>
              <w:top w:val="single" w:sz="4" w:space="0" w:color="auto"/>
              <w:left w:val="single" w:sz="4" w:space="0" w:color="auto"/>
              <w:bottom w:val="single" w:sz="4" w:space="0" w:color="auto"/>
              <w:right w:val="single" w:sz="4" w:space="0" w:color="auto"/>
            </w:tcBorders>
            <w:hideMark/>
          </w:tcPr>
          <w:p w14:paraId="051D8CBD" w14:textId="77777777" w:rsidR="00D240D3" w:rsidRPr="00D240D3" w:rsidRDefault="00D240D3" w:rsidP="003F7DDF">
            <w:pPr>
              <w:numPr>
                <w:ilvl w:val="0"/>
                <w:numId w:val="8"/>
              </w:numPr>
              <w:spacing w:before="0" w:line="278" w:lineRule="auto"/>
              <w:rPr>
                <w:rFonts w:eastAsiaTheme="minorHAnsi"/>
                <w:kern w:val="2"/>
                <w:sz w:val="24"/>
                <w:szCs w:val="24"/>
                <w:lang w:val="sq-AL"/>
                <w14:ligatures w14:val="standardContextual"/>
              </w:rPr>
            </w:pPr>
            <w:r w:rsidRPr="00D240D3">
              <w:rPr>
                <w:rFonts w:eastAsiaTheme="minorHAnsi"/>
                <w:kern w:val="2"/>
                <w:sz w:val="24"/>
                <w:szCs w:val="24"/>
                <w:lang w:val="sq-AL"/>
                <w14:ligatures w14:val="standardContextual"/>
              </w:rPr>
              <w:t>A e respekton projekti i propozuar për bashkëpunim ndërkomunal kohëzgjatjen e dhënë prej 8 (tetë) muajve për realizimin e projektit?</w:t>
            </w:r>
          </w:p>
        </w:tc>
      </w:tr>
    </w:tbl>
    <w:p w14:paraId="57D6B11C" w14:textId="77777777" w:rsidR="00D240D3" w:rsidRPr="00D240D3" w:rsidRDefault="00D240D3" w:rsidP="00D240D3">
      <w:pPr>
        <w:spacing w:after="160" w:line="278" w:lineRule="auto"/>
        <w:rPr>
          <w:lang w:val="sq-AL"/>
        </w:rPr>
      </w:pPr>
    </w:p>
    <w:p w14:paraId="62556F0A" w14:textId="77777777" w:rsidR="00D240D3" w:rsidRPr="00D240D3" w:rsidRDefault="00D240D3" w:rsidP="00D240D3">
      <w:pPr>
        <w:spacing w:after="160" w:line="278" w:lineRule="auto"/>
        <w:rPr>
          <w:lang w:val="sq-AL"/>
        </w:rPr>
      </w:pPr>
      <w:r w:rsidRPr="00D240D3">
        <w:rPr>
          <w:b/>
          <w:u w:val="single"/>
          <w:lang w:val="sq-AL"/>
        </w:rPr>
        <w:t>E rëndësishme:</w:t>
      </w:r>
      <w:r w:rsidRPr="00D240D3">
        <w:rPr>
          <w:lang w:val="sq-AL"/>
        </w:rPr>
        <w:t xml:space="preserve"> Çdo aplikacion që nuk do të jep përgjigje pozitive (PO) për </w:t>
      </w:r>
      <w:r w:rsidRPr="00D240D3">
        <w:rPr>
          <w:b/>
          <w:u w:val="single"/>
          <w:lang w:val="sq-AL"/>
        </w:rPr>
        <w:t>të gjitha</w:t>
      </w:r>
      <w:r w:rsidRPr="00D240D3">
        <w:rPr>
          <w:lang w:val="sq-AL"/>
        </w:rPr>
        <w:t xml:space="preserve"> kriteret e mësipërme të përshtatshmërisë administrative nuk do të konsiderohet për evaluimin e mëtejshëm në fazën e përshtatshmërisë teknike.</w:t>
      </w:r>
    </w:p>
    <w:p w14:paraId="2AA94316" w14:textId="77777777" w:rsidR="00D240D3" w:rsidRPr="00D240D3" w:rsidRDefault="00D240D3" w:rsidP="00D240D3">
      <w:pPr>
        <w:spacing w:after="160" w:line="278" w:lineRule="auto"/>
        <w:rPr>
          <w:lang w:val="sq-AL"/>
        </w:rPr>
      </w:pPr>
      <w:r w:rsidRPr="00D240D3">
        <w:rPr>
          <w:lang w:val="sq-AL"/>
        </w:rPr>
        <w:t>Një aplikacion i plotë duhet të përmbajë pjesët e mëposhtme:</w:t>
      </w:r>
    </w:p>
    <w:p w14:paraId="3A7F6C46" w14:textId="77777777" w:rsidR="00D240D3" w:rsidRPr="00D240D3" w:rsidRDefault="00D240D3" w:rsidP="00D240D3">
      <w:pPr>
        <w:numPr>
          <w:ilvl w:val="0"/>
          <w:numId w:val="5"/>
        </w:numPr>
        <w:spacing w:after="160" w:line="278" w:lineRule="auto"/>
        <w:rPr>
          <w:lang w:val="sq-AL"/>
        </w:rPr>
      </w:pPr>
      <w:r w:rsidRPr="00D240D3">
        <w:rPr>
          <w:lang w:val="sq-AL"/>
        </w:rPr>
        <w:t xml:space="preserve">Formularin e plotësuar të aplikimit i cili përfshinë: </w:t>
      </w:r>
    </w:p>
    <w:p w14:paraId="45699CA2" w14:textId="77777777" w:rsidR="00D240D3" w:rsidRPr="00D240D3" w:rsidRDefault="00D240D3" w:rsidP="00D240D3">
      <w:pPr>
        <w:spacing w:after="160" w:line="278" w:lineRule="auto"/>
        <w:rPr>
          <w:lang w:val="sq-AL"/>
        </w:rPr>
      </w:pPr>
      <w:r w:rsidRPr="00D240D3">
        <w:rPr>
          <w:lang w:val="sq-AL"/>
        </w:rPr>
        <w:t>a.</w:t>
      </w:r>
      <w:r w:rsidRPr="00D240D3">
        <w:rPr>
          <w:lang w:val="sq-AL"/>
        </w:rPr>
        <w:tab/>
        <w:t xml:space="preserve">Deklarata e Partneritetit e nënshkruar nga kryetarët e këshillave të komunave dhe kryetarët e komunave dhe e vulosur nga komuna (kur është e përshtatshme nga kryetari i Këshillit të rajonit planor dhe/ose kryetari i organizatës së shoqërisë civile (Shtojca 1) </w:t>
      </w:r>
    </w:p>
    <w:p w14:paraId="7FAADF92" w14:textId="77777777" w:rsidR="00D240D3" w:rsidRPr="00D240D3" w:rsidRDefault="00D240D3" w:rsidP="00D240D3">
      <w:pPr>
        <w:spacing w:after="160" w:line="278" w:lineRule="auto"/>
        <w:rPr>
          <w:lang w:val="sq-AL"/>
        </w:rPr>
      </w:pPr>
      <w:r w:rsidRPr="00D240D3">
        <w:rPr>
          <w:lang w:val="sq-AL"/>
        </w:rPr>
        <w:t xml:space="preserve">                        b.  Letër për obligim e nënshkruar nga të gjithë kryetarët e komunave dhe kryetarët e këshillave të komunave (Shtojca 2) </w:t>
      </w:r>
    </w:p>
    <w:p w14:paraId="594FD362" w14:textId="77777777" w:rsidR="00D240D3" w:rsidRPr="00D240D3" w:rsidRDefault="00D240D3" w:rsidP="00D240D3">
      <w:pPr>
        <w:numPr>
          <w:ilvl w:val="0"/>
          <w:numId w:val="5"/>
        </w:numPr>
        <w:spacing w:after="160" w:line="278" w:lineRule="auto"/>
        <w:rPr>
          <w:lang w:val="sq-AL"/>
        </w:rPr>
      </w:pPr>
      <w:r w:rsidRPr="00D240D3">
        <w:rPr>
          <w:lang w:val="sq-AL"/>
        </w:rPr>
        <w:t xml:space="preserve">Buxheti i kompletuar dhe arsyetim për buxhetin (Shtojca 3) </w:t>
      </w:r>
    </w:p>
    <w:p w14:paraId="057535E6" w14:textId="77777777" w:rsidR="00D240D3" w:rsidRPr="00D240D3" w:rsidRDefault="00D240D3" w:rsidP="003F7DDF">
      <w:pPr>
        <w:pStyle w:val="Heading2"/>
        <w:rPr>
          <w:lang w:val="sq-AL"/>
        </w:rPr>
      </w:pPr>
      <w:bookmarkStart w:id="27" w:name="_Toc228786317"/>
      <w:r w:rsidRPr="00D240D3">
        <w:rPr>
          <w:lang w:val="sq-AL"/>
        </w:rPr>
        <w:t>17.2 Përshtatshmëria teknike</w:t>
      </w:r>
      <w:bookmarkEnd w:id="27"/>
      <w:r w:rsidRPr="00D240D3">
        <w:rPr>
          <w:lang w:val="sq-AL"/>
        </w:rPr>
        <w:t xml:space="preserve"> </w:t>
      </w:r>
    </w:p>
    <w:p w14:paraId="595DEDB2" w14:textId="77777777" w:rsidR="00D240D3" w:rsidRPr="00D240D3" w:rsidRDefault="00D240D3" w:rsidP="00D240D3">
      <w:pPr>
        <w:spacing w:after="160" w:line="278" w:lineRule="auto"/>
        <w:rPr>
          <w:lang w:val="sq-AL"/>
        </w:rPr>
      </w:pPr>
      <w:r w:rsidRPr="00D240D3">
        <w:rPr>
          <w:lang w:val="sq-AL"/>
        </w:rPr>
        <w:t>Aplikacionet të cilat e kanë kaluar përshtatshmërinë administrative do të vlerësohen për përshtatshmërinë e tyre teknike (thelbësore) sipas kritereve dhe pikave të përcaktuara, siç përcaktohet më poshtë në kriteret për evaluim. Numri maksimal i pikëve që aplikacionet mund të arrijnë është 100. Vetëm aplikacionet që kanë fituar një minimum prej 60 pikësh do të konsiderohen për përzgjedhje, sipas renditjes.</w:t>
      </w:r>
    </w:p>
    <w:p w14:paraId="0374AB32" w14:textId="77777777" w:rsidR="00D240D3" w:rsidRPr="00D240D3" w:rsidRDefault="00D240D3" w:rsidP="00D240D3">
      <w:pPr>
        <w:spacing w:after="160" w:line="278" w:lineRule="auto"/>
        <w:rPr>
          <w:lang w:val="sq-AL"/>
        </w:rPr>
      </w:pPr>
      <w:r w:rsidRPr="00D240D3">
        <w:rPr>
          <w:lang w:val="sq-AL"/>
        </w:rPr>
        <w:t xml:space="preserve"> </w:t>
      </w:r>
    </w:p>
    <w:p w14:paraId="2DD8555D" w14:textId="77777777" w:rsidR="00D240D3" w:rsidRPr="00D240D3" w:rsidRDefault="00D240D3" w:rsidP="00D240D3">
      <w:pPr>
        <w:spacing w:after="160" w:line="278" w:lineRule="auto"/>
        <w:rPr>
          <w:lang w:val="sq-AL"/>
        </w:rPr>
      </w:pPr>
    </w:p>
    <w:p w14:paraId="5F4F8D1A" w14:textId="77777777" w:rsidR="00D240D3" w:rsidRPr="00D240D3" w:rsidRDefault="00D240D3" w:rsidP="00D240D3">
      <w:pPr>
        <w:spacing w:after="160" w:line="278" w:lineRule="auto"/>
        <w:rPr>
          <w:lang w:val="sq-AL"/>
        </w:rPr>
      </w:pPr>
    </w:p>
    <w:p w14:paraId="09E500C1" w14:textId="77777777" w:rsidR="00D240D3" w:rsidRPr="00D240D3" w:rsidRDefault="00D240D3" w:rsidP="00D240D3">
      <w:pPr>
        <w:spacing w:after="160" w:line="278" w:lineRule="auto"/>
        <w:rPr>
          <w:b/>
          <w:lang w:val="sq-AL"/>
        </w:rPr>
      </w:pPr>
      <w:r w:rsidRPr="00D240D3">
        <w:rPr>
          <w:b/>
          <w:lang w:val="sq-AL"/>
        </w:rPr>
        <w:t xml:space="preserve">KRITERET PËR EVALUIM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9"/>
        <w:gridCol w:w="1081"/>
        <w:gridCol w:w="900"/>
      </w:tblGrid>
      <w:tr w:rsidR="00D240D3" w:rsidRPr="00D240D3" w14:paraId="6C6FD4F5" w14:textId="77777777" w:rsidTr="003F7DDF">
        <w:tc>
          <w:tcPr>
            <w:tcW w:w="8189" w:type="dxa"/>
            <w:tcBorders>
              <w:top w:val="single" w:sz="4" w:space="0" w:color="auto"/>
              <w:left w:val="single" w:sz="4" w:space="0" w:color="auto"/>
              <w:bottom w:val="single" w:sz="4" w:space="0" w:color="auto"/>
              <w:right w:val="single" w:sz="4" w:space="0" w:color="auto"/>
            </w:tcBorders>
            <w:vAlign w:val="center"/>
            <w:hideMark/>
          </w:tcPr>
          <w:p w14:paraId="7E7520D5" w14:textId="77777777" w:rsidR="00D240D3" w:rsidRPr="00D240D3" w:rsidRDefault="00D240D3" w:rsidP="003F7DDF">
            <w:pPr>
              <w:spacing w:before="0" w:after="0" w:line="278" w:lineRule="auto"/>
              <w:rPr>
                <w:b/>
                <w:lang w:val="sq-AL"/>
              </w:rPr>
            </w:pPr>
            <w:r w:rsidRPr="00D240D3">
              <w:rPr>
                <w:b/>
                <w:lang w:val="sq-AL"/>
              </w:rPr>
              <w:lastRenderedPageBreak/>
              <w:t>Seksioni</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7983F0" w14:textId="77777777" w:rsidR="00D240D3" w:rsidRPr="00D240D3" w:rsidRDefault="00D240D3" w:rsidP="003F7DDF">
            <w:pPr>
              <w:spacing w:before="0" w:after="0" w:line="278" w:lineRule="auto"/>
              <w:rPr>
                <w:b/>
                <w:lang w:val="sq-AL"/>
              </w:rPr>
            </w:pPr>
            <w:r w:rsidRPr="00D240D3">
              <w:rPr>
                <w:b/>
                <w:lang w:val="sq-AL"/>
              </w:rPr>
              <w:t>Pikët maksimale</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C77211" w14:textId="77777777" w:rsidR="00D240D3" w:rsidRPr="00D240D3" w:rsidRDefault="00D240D3" w:rsidP="003F7DDF">
            <w:pPr>
              <w:spacing w:before="0" w:after="0" w:line="278" w:lineRule="auto"/>
              <w:rPr>
                <w:b/>
                <w:lang w:val="sq-AL"/>
              </w:rPr>
            </w:pPr>
            <w:r w:rsidRPr="00D240D3">
              <w:rPr>
                <w:b/>
                <w:lang w:val="sq-AL"/>
              </w:rPr>
              <w:t>Formulari</w:t>
            </w:r>
          </w:p>
        </w:tc>
      </w:tr>
      <w:tr w:rsidR="00D240D3" w:rsidRPr="00D240D3" w14:paraId="3C464451" w14:textId="77777777" w:rsidTr="003F7DDF">
        <w:tc>
          <w:tcPr>
            <w:tcW w:w="818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949B298" w14:textId="77777777" w:rsidR="00D240D3" w:rsidRPr="00D240D3" w:rsidRDefault="00D240D3" w:rsidP="003F7DDF">
            <w:pPr>
              <w:spacing w:before="0" w:after="0" w:line="278" w:lineRule="auto"/>
              <w:rPr>
                <w:lang w:val="sq-AL"/>
              </w:rPr>
            </w:pPr>
            <w:r w:rsidRPr="00D240D3">
              <w:rPr>
                <w:b/>
                <w:lang w:val="sq-AL"/>
              </w:rPr>
              <w:t>1. Kapaciteti operativ dhe administrativ për menaxhim</w:t>
            </w:r>
          </w:p>
        </w:tc>
        <w:tc>
          <w:tcPr>
            <w:tcW w:w="108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5520CD" w14:textId="77777777" w:rsidR="00D240D3" w:rsidRPr="00D240D3" w:rsidRDefault="00D240D3" w:rsidP="003F7DDF">
            <w:pPr>
              <w:spacing w:before="0" w:after="0" w:line="278" w:lineRule="auto"/>
              <w:rPr>
                <w:b/>
                <w:lang w:val="sq-AL"/>
              </w:rPr>
            </w:pPr>
            <w:r w:rsidRPr="00D240D3">
              <w:rPr>
                <w:b/>
                <w:lang w:val="sq-AL"/>
              </w:rPr>
              <w:t>Маks.15</w:t>
            </w:r>
          </w:p>
        </w:tc>
        <w:tc>
          <w:tcPr>
            <w:tcW w:w="900" w:type="dxa"/>
            <w:tcBorders>
              <w:top w:val="single" w:sz="4" w:space="0" w:color="auto"/>
              <w:left w:val="single" w:sz="4" w:space="0" w:color="auto"/>
              <w:bottom w:val="single" w:sz="4" w:space="0" w:color="auto"/>
              <w:right w:val="single" w:sz="4" w:space="0" w:color="auto"/>
            </w:tcBorders>
          </w:tcPr>
          <w:p w14:paraId="4BD8190F" w14:textId="77777777" w:rsidR="00D240D3" w:rsidRPr="00D240D3" w:rsidRDefault="00D240D3" w:rsidP="003F7DDF">
            <w:pPr>
              <w:spacing w:before="0" w:after="0" w:line="278" w:lineRule="auto"/>
              <w:rPr>
                <w:b/>
                <w:lang w:val="sq-AL"/>
              </w:rPr>
            </w:pPr>
          </w:p>
        </w:tc>
      </w:tr>
      <w:tr w:rsidR="00D240D3" w:rsidRPr="00D240D3" w14:paraId="0D3A1579" w14:textId="77777777" w:rsidTr="003F7DDF">
        <w:tc>
          <w:tcPr>
            <w:tcW w:w="8189" w:type="dxa"/>
            <w:vMerge w:val="restart"/>
            <w:tcBorders>
              <w:top w:val="single" w:sz="4" w:space="0" w:color="auto"/>
              <w:left w:val="single" w:sz="4" w:space="0" w:color="auto"/>
              <w:bottom w:val="single" w:sz="4" w:space="0" w:color="auto"/>
              <w:right w:val="single" w:sz="4" w:space="0" w:color="auto"/>
            </w:tcBorders>
            <w:hideMark/>
          </w:tcPr>
          <w:p w14:paraId="6EB7B888" w14:textId="77777777" w:rsidR="00D240D3" w:rsidRPr="00D240D3" w:rsidRDefault="00D240D3" w:rsidP="003F7DDF">
            <w:pPr>
              <w:spacing w:before="0" w:after="0" w:line="278" w:lineRule="auto"/>
              <w:rPr>
                <w:lang w:val="sq-AL"/>
              </w:rPr>
            </w:pPr>
            <w:r w:rsidRPr="00D240D3">
              <w:rPr>
                <w:lang w:val="sq-AL"/>
              </w:rPr>
              <w:t xml:space="preserve">1.1 A tregojnë komuna aplikuese dhe partnerët </w:t>
            </w:r>
            <w:r w:rsidRPr="00D240D3">
              <w:rPr>
                <w:b/>
                <w:lang w:val="sq-AL"/>
              </w:rPr>
              <w:t>përvojë në menaxhimin dhe administrimin e projekteve</w:t>
            </w:r>
            <w:r w:rsidRPr="00D240D3">
              <w:rPr>
                <w:lang w:val="sq-AL"/>
              </w:rPr>
              <w:t xml:space="preserve"> </w:t>
            </w:r>
            <w:r w:rsidRPr="00D240D3">
              <w:rPr>
                <w:b/>
                <w:lang w:val="sq-AL"/>
              </w:rPr>
              <w:t>(përfshirë personelin, pajisjet dhe aftësinë për të menaxhuar projektin)</w:t>
            </w:r>
            <w:r w:rsidRPr="00D240D3">
              <w:rPr>
                <w:lang w:val="sq-AL"/>
              </w:rPr>
              <w:t xml:space="preserve"> dhe kapacitetin financiar? </w:t>
            </w:r>
          </w:p>
        </w:tc>
        <w:tc>
          <w:tcPr>
            <w:tcW w:w="1081" w:type="dxa"/>
            <w:tcBorders>
              <w:top w:val="single" w:sz="4" w:space="0" w:color="auto"/>
              <w:left w:val="single" w:sz="4" w:space="0" w:color="auto"/>
              <w:bottom w:val="single" w:sz="4" w:space="0" w:color="auto"/>
              <w:right w:val="single" w:sz="4" w:space="0" w:color="auto"/>
            </w:tcBorders>
            <w:hideMark/>
          </w:tcPr>
          <w:p w14:paraId="192F22D5" w14:textId="77777777" w:rsidR="00D240D3" w:rsidRPr="00D240D3" w:rsidRDefault="00D240D3" w:rsidP="003F7DDF">
            <w:pPr>
              <w:spacing w:before="0" w:after="0" w:line="278" w:lineRule="auto"/>
              <w:rPr>
                <w:lang w:val="sq-AL"/>
              </w:rPr>
            </w:pPr>
            <w:r w:rsidRPr="00D240D3">
              <w:rPr>
                <w:lang w:val="sq-AL"/>
              </w:rPr>
              <w:t>5</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40580EBC" w14:textId="77777777" w:rsidR="00D240D3" w:rsidRPr="00D240D3" w:rsidRDefault="00D240D3" w:rsidP="003F7DDF">
            <w:pPr>
              <w:spacing w:before="0" w:after="0" w:line="278" w:lineRule="auto"/>
              <w:rPr>
                <w:lang w:val="sq-AL"/>
              </w:rPr>
            </w:pPr>
            <w:r w:rsidRPr="00D240D3">
              <w:rPr>
                <w:lang w:val="sq-AL"/>
              </w:rPr>
              <w:t>A1, A2,</w:t>
            </w:r>
          </w:p>
        </w:tc>
      </w:tr>
      <w:tr w:rsidR="00D240D3" w:rsidRPr="00D240D3" w14:paraId="5E0C7C81" w14:textId="77777777" w:rsidTr="003F7DDF">
        <w:tc>
          <w:tcPr>
            <w:tcW w:w="8189" w:type="dxa"/>
            <w:vMerge/>
            <w:tcBorders>
              <w:top w:val="single" w:sz="4" w:space="0" w:color="auto"/>
              <w:left w:val="single" w:sz="4" w:space="0" w:color="auto"/>
              <w:bottom w:val="single" w:sz="4" w:space="0" w:color="auto"/>
              <w:right w:val="single" w:sz="4" w:space="0" w:color="auto"/>
            </w:tcBorders>
            <w:vAlign w:val="center"/>
            <w:hideMark/>
          </w:tcPr>
          <w:p w14:paraId="085667E7" w14:textId="77777777" w:rsidR="00D240D3" w:rsidRPr="00D240D3" w:rsidRDefault="00D240D3" w:rsidP="003F7DDF">
            <w:pPr>
              <w:spacing w:before="0" w:after="0" w:line="278" w:lineRule="auto"/>
              <w:rPr>
                <w:lang w:val="sq-AL"/>
              </w:rPr>
            </w:pPr>
          </w:p>
        </w:tc>
        <w:tc>
          <w:tcPr>
            <w:tcW w:w="1081" w:type="dxa"/>
            <w:tcBorders>
              <w:top w:val="single" w:sz="4" w:space="0" w:color="auto"/>
              <w:left w:val="single" w:sz="4" w:space="0" w:color="auto"/>
              <w:bottom w:val="single" w:sz="4" w:space="0" w:color="auto"/>
              <w:right w:val="single" w:sz="4" w:space="0" w:color="auto"/>
            </w:tcBorders>
            <w:hideMark/>
          </w:tcPr>
          <w:p w14:paraId="75DCAB15" w14:textId="77777777" w:rsidR="00D240D3" w:rsidRPr="00D240D3" w:rsidRDefault="00D240D3" w:rsidP="003F7DDF">
            <w:pPr>
              <w:spacing w:before="0" w:after="0" w:line="278" w:lineRule="auto"/>
              <w:rPr>
                <w:lang w:val="sq-AL"/>
              </w:rPr>
            </w:pPr>
            <w:r w:rsidRPr="00D240D3">
              <w:rPr>
                <w:lang w:val="sq-AL"/>
              </w:rPr>
              <w:t>3</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2D9C3E3D" w14:textId="77777777" w:rsidR="00D240D3" w:rsidRPr="00D240D3" w:rsidRDefault="00D240D3" w:rsidP="003F7DDF">
            <w:pPr>
              <w:spacing w:before="0" w:after="0" w:line="278" w:lineRule="auto"/>
              <w:rPr>
                <w:lang w:val="sq-AL"/>
              </w:rPr>
            </w:pPr>
          </w:p>
        </w:tc>
      </w:tr>
      <w:tr w:rsidR="00D240D3" w:rsidRPr="00D240D3" w14:paraId="5AD3F1CC" w14:textId="77777777" w:rsidTr="003F7DDF">
        <w:tc>
          <w:tcPr>
            <w:tcW w:w="8189" w:type="dxa"/>
            <w:vMerge/>
            <w:tcBorders>
              <w:top w:val="single" w:sz="4" w:space="0" w:color="auto"/>
              <w:left w:val="single" w:sz="4" w:space="0" w:color="auto"/>
              <w:bottom w:val="single" w:sz="4" w:space="0" w:color="auto"/>
              <w:right w:val="single" w:sz="4" w:space="0" w:color="auto"/>
            </w:tcBorders>
            <w:vAlign w:val="center"/>
            <w:hideMark/>
          </w:tcPr>
          <w:p w14:paraId="2011529B" w14:textId="77777777" w:rsidR="00D240D3" w:rsidRPr="00D240D3" w:rsidRDefault="00D240D3" w:rsidP="003F7DDF">
            <w:pPr>
              <w:spacing w:before="0" w:after="0" w:line="278" w:lineRule="auto"/>
              <w:rPr>
                <w:lang w:val="sq-AL"/>
              </w:rPr>
            </w:pPr>
          </w:p>
        </w:tc>
        <w:tc>
          <w:tcPr>
            <w:tcW w:w="1081" w:type="dxa"/>
            <w:tcBorders>
              <w:top w:val="single" w:sz="4" w:space="0" w:color="auto"/>
              <w:left w:val="single" w:sz="4" w:space="0" w:color="auto"/>
              <w:bottom w:val="single" w:sz="4" w:space="0" w:color="auto"/>
              <w:right w:val="single" w:sz="4" w:space="0" w:color="auto"/>
            </w:tcBorders>
            <w:hideMark/>
          </w:tcPr>
          <w:p w14:paraId="539AD3CF" w14:textId="77777777" w:rsidR="00D240D3" w:rsidRPr="00D240D3" w:rsidRDefault="00D240D3" w:rsidP="003F7DDF">
            <w:pPr>
              <w:spacing w:before="0" w:after="0" w:line="278" w:lineRule="auto"/>
              <w:rPr>
                <w:lang w:val="sq-AL"/>
              </w:rPr>
            </w:pPr>
            <w:r w:rsidRPr="00D240D3">
              <w:rPr>
                <w:lang w:val="sq-AL"/>
              </w:rPr>
              <w:t>1</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75BC7B52" w14:textId="77777777" w:rsidR="00D240D3" w:rsidRPr="00D240D3" w:rsidRDefault="00D240D3" w:rsidP="003F7DDF">
            <w:pPr>
              <w:spacing w:before="0" w:after="0" w:line="278" w:lineRule="auto"/>
              <w:rPr>
                <w:lang w:val="sq-AL"/>
              </w:rPr>
            </w:pPr>
          </w:p>
        </w:tc>
      </w:tr>
      <w:tr w:rsidR="00D240D3" w:rsidRPr="00D240D3" w14:paraId="064C54D9" w14:textId="77777777" w:rsidTr="003F7DDF">
        <w:trPr>
          <w:trHeight w:val="233"/>
        </w:trPr>
        <w:tc>
          <w:tcPr>
            <w:tcW w:w="8189" w:type="dxa"/>
            <w:tcBorders>
              <w:top w:val="single" w:sz="4" w:space="0" w:color="auto"/>
              <w:left w:val="single" w:sz="4" w:space="0" w:color="auto"/>
              <w:bottom w:val="single" w:sz="4" w:space="0" w:color="auto"/>
              <w:right w:val="single" w:sz="4" w:space="0" w:color="auto"/>
            </w:tcBorders>
            <w:hideMark/>
          </w:tcPr>
          <w:p w14:paraId="0FF00670" w14:textId="77777777" w:rsidR="00D240D3" w:rsidRPr="00D240D3" w:rsidRDefault="00D240D3" w:rsidP="003F7DDF">
            <w:pPr>
              <w:spacing w:before="0" w:after="0" w:line="278" w:lineRule="auto"/>
              <w:rPr>
                <w:lang w:val="sq-AL"/>
              </w:rPr>
            </w:pPr>
            <w:r w:rsidRPr="00D240D3">
              <w:rPr>
                <w:b/>
                <w:bCs/>
                <w:lang w:val="sq-AL"/>
              </w:rPr>
              <w:t>1.2. Numri i NJVL-ve të përfshira në bashkëpunim</w:t>
            </w:r>
          </w:p>
        </w:tc>
        <w:tc>
          <w:tcPr>
            <w:tcW w:w="1081" w:type="dxa"/>
            <w:tcBorders>
              <w:top w:val="single" w:sz="4" w:space="0" w:color="auto"/>
              <w:left w:val="single" w:sz="4" w:space="0" w:color="auto"/>
              <w:bottom w:val="single" w:sz="4" w:space="0" w:color="auto"/>
              <w:right w:val="single" w:sz="4" w:space="0" w:color="auto"/>
            </w:tcBorders>
          </w:tcPr>
          <w:p w14:paraId="0633BCAD" w14:textId="77777777" w:rsidR="00D240D3" w:rsidRPr="00D240D3" w:rsidRDefault="00D240D3" w:rsidP="003F7DDF">
            <w:pPr>
              <w:spacing w:before="0" w:after="0" w:line="278" w:lineRule="auto"/>
              <w:rPr>
                <w:lang w:val="sq-AL"/>
              </w:rPr>
            </w:pP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09D9DEFD" w14:textId="77777777" w:rsidR="00D240D3" w:rsidRPr="00D240D3" w:rsidRDefault="00D240D3" w:rsidP="003F7DDF">
            <w:pPr>
              <w:spacing w:before="0" w:after="0" w:line="278" w:lineRule="auto"/>
              <w:rPr>
                <w:lang w:val="sq-AL"/>
              </w:rPr>
            </w:pPr>
            <w:r w:rsidRPr="00D240D3">
              <w:rPr>
                <w:lang w:val="sq-AL"/>
              </w:rPr>
              <w:t>A1</w:t>
            </w:r>
          </w:p>
        </w:tc>
      </w:tr>
      <w:tr w:rsidR="00D240D3" w:rsidRPr="00D240D3" w14:paraId="61F82C7F"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395FC081" w14:textId="77777777" w:rsidR="00D240D3" w:rsidRPr="00D240D3" w:rsidRDefault="00D240D3" w:rsidP="003F7DDF">
            <w:pPr>
              <w:spacing w:before="0" w:after="0" w:line="278" w:lineRule="auto"/>
              <w:rPr>
                <w:lang w:val="sq-AL"/>
              </w:rPr>
            </w:pPr>
            <w:r w:rsidRPr="00D240D3">
              <w:rPr>
                <w:lang w:val="sq-AL"/>
              </w:rPr>
              <w:t>1.2.1 6+</w:t>
            </w:r>
          </w:p>
        </w:tc>
        <w:tc>
          <w:tcPr>
            <w:tcW w:w="1081" w:type="dxa"/>
            <w:tcBorders>
              <w:top w:val="single" w:sz="4" w:space="0" w:color="auto"/>
              <w:left w:val="single" w:sz="4" w:space="0" w:color="auto"/>
              <w:bottom w:val="single" w:sz="4" w:space="0" w:color="auto"/>
              <w:right w:val="single" w:sz="4" w:space="0" w:color="auto"/>
            </w:tcBorders>
            <w:hideMark/>
          </w:tcPr>
          <w:p w14:paraId="2968ED21" w14:textId="77777777" w:rsidR="00D240D3" w:rsidRPr="00D240D3" w:rsidRDefault="00D240D3" w:rsidP="003F7DDF">
            <w:pPr>
              <w:spacing w:before="0" w:after="0" w:line="278" w:lineRule="auto"/>
              <w:rPr>
                <w:lang w:val="sq-AL"/>
              </w:rPr>
            </w:pPr>
            <w:r w:rsidRPr="00D240D3">
              <w:rPr>
                <w:lang w:val="sq-AL"/>
              </w:rPr>
              <w:t>10</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395DE3C7" w14:textId="77777777" w:rsidR="00D240D3" w:rsidRPr="00D240D3" w:rsidRDefault="00D240D3" w:rsidP="003F7DDF">
            <w:pPr>
              <w:spacing w:before="0" w:after="0" w:line="278" w:lineRule="auto"/>
              <w:rPr>
                <w:lang w:val="sq-AL"/>
              </w:rPr>
            </w:pPr>
          </w:p>
        </w:tc>
      </w:tr>
      <w:tr w:rsidR="00D240D3" w:rsidRPr="00D240D3" w14:paraId="53D4D494"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08CFF0DD" w14:textId="77777777" w:rsidR="00D240D3" w:rsidRPr="00D240D3" w:rsidRDefault="00D240D3" w:rsidP="003F7DDF">
            <w:pPr>
              <w:spacing w:before="0" w:after="0" w:line="278" w:lineRule="auto"/>
              <w:rPr>
                <w:lang w:val="sq-AL"/>
              </w:rPr>
            </w:pPr>
            <w:r w:rsidRPr="00D240D3">
              <w:rPr>
                <w:lang w:val="sq-AL"/>
              </w:rPr>
              <w:t>1.2.2  3-5 komuna</w:t>
            </w:r>
          </w:p>
        </w:tc>
        <w:tc>
          <w:tcPr>
            <w:tcW w:w="1081" w:type="dxa"/>
            <w:tcBorders>
              <w:top w:val="single" w:sz="4" w:space="0" w:color="auto"/>
              <w:left w:val="single" w:sz="4" w:space="0" w:color="auto"/>
              <w:bottom w:val="single" w:sz="4" w:space="0" w:color="auto"/>
              <w:right w:val="single" w:sz="4" w:space="0" w:color="auto"/>
            </w:tcBorders>
            <w:hideMark/>
          </w:tcPr>
          <w:p w14:paraId="2C57F0E7" w14:textId="77777777" w:rsidR="00D240D3" w:rsidRPr="00D240D3" w:rsidRDefault="00D240D3" w:rsidP="003F7DDF">
            <w:pPr>
              <w:spacing w:before="0" w:after="0" w:line="278" w:lineRule="auto"/>
              <w:rPr>
                <w:lang w:val="sq-AL"/>
              </w:rPr>
            </w:pPr>
            <w:r w:rsidRPr="00D240D3">
              <w:rPr>
                <w:lang w:val="sq-AL"/>
              </w:rPr>
              <w:t>5</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44C1A49C" w14:textId="77777777" w:rsidR="00D240D3" w:rsidRPr="00D240D3" w:rsidRDefault="00D240D3" w:rsidP="003F7DDF">
            <w:pPr>
              <w:spacing w:before="0" w:after="0" w:line="278" w:lineRule="auto"/>
              <w:rPr>
                <w:lang w:val="sq-AL"/>
              </w:rPr>
            </w:pPr>
          </w:p>
        </w:tc>
      </w:tr>
      <w:tr w:rsidR="00D240D3" w:rsidRPr="00D240D3" w14:paraId="22EBC18A"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26EC1ECA" w14:textId="77777777" w:rsidR="00D240D3" w:rsidRPr="00D240D3" w:rsidRDefault="00D240D3" w:rsidP="003F7DDF">
            <w:pPr>
              <w:spacing w:before="0" w:after="0" w:line="278" w:lineRule="auto"/>
              <w:rPr>
                <w:lang w:val="sq-AL"/>
              </w:rPr>
            </w:pPr>
            <w:r w:rsidRPr="00D240D3">
              <w:rPr>
                <w:lang w:val="sq-AL"/>
              </w:rPr>
              <w:t>1.2.3  2 komuna</w:t>
            </w:r>
          </w:p>
        </w:tc>
        <w:tc>
          <w:tcPr>
            <w:tcW w:w="1081" w:type="dxa"/>
            <w:tcBorders>
              <w:top w:val="single" w:sz="4" w:space="0" w:color="auto"/>
              <w:left w:val="single" w:sz="4" w:space="0" w:color="auto"/>
              <w:bottom w:val="single" w:sz="4" w:space="0" w:color="auto"/>
              <w:right w:val="single" w:sz="4" w:space="0" w:color="auto"/>
            </w:tcBorders>
            <w:hideMark/>
          </w:tcPr>
          <w:p w14:paraId="4B65E9DF" w14:textId="77777777" w:rsidR="00D240D3" w:rsidRPr="00D240D3" w:rsidRDefault="00D240D3" w:rsidP="003F7DDF">
            <w:pPr>
              <w:spacing w:before="0" w:after="0" w:line="278" w:lineRule="auto"/>
              <w:rPr>
                <w:lang w:val="sq-AL"/>
              </w:rPr>
            </w:pPr>
            <w:r w:rsidRPr="00D240D3">
              <w:rPr>
                <w:lang w:val="sq-AL"/>
              </w:rPr>
              <w:t>1</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1FC9FC96" w14:textId="77777777" w:rsidR="00D240D3" w:rsidRPr="00D240D3" w:rsidRDefault="00D240D3" w:rsidP="003F7DDF">
            <w:pPr>
              <w:spacing w:before="0" w:after="0" w:line="278" w:lineRule="auto"/>
              <w:rPr>
                <w:lang w:val="sq-AL"/>
              </w:rPr>
            </w:pPr>
          </w:p>
        </w:tc>
      </w:tr>
      <w:tr w:rsidR="00D240D3" w:rsidRPr="00D240D3" w14:paraId="130EE270" w14:textId="77777777" w:rsidTr="003F7DDF">
        <w:tc>
          <w:tcPr>
            <w:tcW w:w="8189" w:type="dxa"/>
            <w:tcBorders>
              <w:top w:val="single" w:sz="4" w:space="0" w:color="auto"/>
              <w:left w:val="single" w:sz="4" w:space="0" w:color="auto"/>
              <w:bottom w:val="single" w:sz="4" w:space="0" w:color="auto"/>
              <w:right w:val="single" w:sz="4" w:space="0" w:color="auto"/>
            </w:tcBorders>
            <w:shd w:val="pct10" w:color="auto" w:fill="FFFFFF"/>
            <w:hideMark/>
          </w:tcPr>
          <w:p w14:paraId="496C83B4" w14:textId="77777777" w:rsidR="00D240D3" w:rsidRPr="00D240D3" w:rsidRDefault="00D240D3" w:rsidP="003F7DDF">
            <w:pPr>
              <w:spacing w:before="0" w:after="0" w:line="278" w:lineRule="auto"/>
              <w:rPr>
                <w:lang w:val="sq-AL"/>
              </w:rPr>
            </w:pPr>
            <w:r w:rsidRPr="00D240D3">
              <w:rPr>
                <w:b/>
                <w:lang w:val="sq-AL"/>
              </w:rPr>
              <w:t>2. Relevanca e projektit</w:t>
            </w:r>
          </w:p>
        </w:tc>
        <w:tc>
          <w:tcPr>
            <w:tcW w:w="108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056F8C" w14:textId="77777777" w:rsidR="00D240D3" w:rsidRPr="00D240D3" w:rsidRDefault="00D240D3" w:rsidP="003F7DDF">
            <w:pPr>
              <w:spacing w:before="0" w:after="0" w:line="278" w:lineRule="auto"/>
              <w:rPr>
                <w:b/>
                <w:lang w:val="sq-AL"/>
              </w:rPr>
            </w:pPr>
            <w:r w:rsidRPr="00D240D3">
              <w:rPr>
                <w:b/>
                <w:lang w:val="sq-AL"/>
              </w:rPr>
              <w:t>Маks.30</w:t>
            </w:r>
          </w:p>
        </w:tc>
        <w:tc>
          <w:tcPr>
            <w:tcW w:w="900" w:type="dxa"/>
            <w:tcBorders>
              <w:top w:val="single" w:sz="4" w:space="0" w:color="auto"/>
              <w:left w:val="single" w:sz="4" w:space="0" w:color="auto"/>
              <w:bottom w:val="single" w:sz="4" w:space="0" w:color="auto"/>
              <w:right w:val="single" w:sz="4" w:space="0" w:color="auto"/>
            </w:tcBorders>
          </w:tcPr>
          <w:p w14:paraId="629541EC" w14:textId="77777777" w:rsidR="00D240D3" w:rsidRPr="00D240D3" w:rsidRDefault="00D240D3" w:rsidP="003F7DDF">
            <w:pPr>
              <w:spacing w:before="0" w:after="0" w:line="278" w:lineRule="auto"/>
              <w:rPr>
                <w:b/>
                <w:lang w:val="sq-AL"/>
              </w:rPr>
            </w:pPr>
          </w:p>
        </w:tc>
      </w:tr>
      <w:tr w:rsidR="00D240D3" w:rsidRPr="00D240D3" w14:paraId="1512A2FA" w14:textId="77777777" w:rsidTr="003F7DDF">
        <w:trPr>
          <w:trHeight w:val="287"/>
        </w:trPr>
        <w:tc>
          <w:tcPr>
            <w:tcW w:w="8189" w:type="dxa"/>
            <w:tcBorders>
              <w:top w:val="single" w:sz="4" w:space="0" w:color="auto"/>
              <w:left w:val="single" w:sz="4" w:space="0" w:color="auto"/>
              <w:bottom w:val="nil"/>
              <w:right w:val="single" w:sz="4" w:space="0" w:color="auto"/>
            </w:tcBorders>
            <w:hideMark/>
          </w:tcPr>
          <w:p w14:paraId="3D11A526" w14:textId="77777777" w:rsidR="00D240D3" w:rsidRPr="00D240D3" w:rsidRDefault="00D240D3" w:rsidP="003F7DDF">
            <w:pPr>
              <w:spacing w:before="0" w:after="0" w:line="278" w:lineRule="auto"/>
              <w:rPr>
                <w:lang w:val="sq-AL"/>
              </w:rPr>
            </w:pPr>
            <w:r w:rsidRPr="00D240D3">
              <w:rPr>
                <w:lang w:val="sq-AL"/>
              </w:rPr>
              <w:t xml:space="preserve">2.1 Sa është relevant projekti për </w:t>
            </w:r>
            <w:r w:rsidRPr="00D240D3">
              <w:rPr>
                <w:b/>
                <w:bCs/>
                <w:lang w:val="sq-AL"/>
              </w:rPr>
              <w:t xml:space="preserve">qëllimet </w:t>
            </w:r>
            <w:r w:rsidRPr="00D240D3">
              <w:rPr>
                <w:bCs/>
                <w:lang w:val="sq-AL"/>
              </w:rPr>
              <w:t>e kësaj thirrjeje</w:t>
            </w:r>
            <w:r w:rsidRPr="00D240D3">
              <w:rPr>
                <w:lang w:val="sq-AL"/>
              </w:rPr>
              <w:t xml:space="preserve">? </w:t>
            </w:r>
          </w:p>
        </w:tc>
        <w:tc>
          <w:tcPr>
            <w:tcW w:w="1081" w:type="dxa"/>
            <w:tcBorders>
              <w:top w:val="single" w:sz="4" w:space="0" w:color="auto"/>
              <w:left w:val="single" w:sz="4" w:space="0" w:color="auto"/>
              <w:bottom w:val="nil"/>
              <w:right w:val="single" w:sz="4" w:space="0" w:color="auto"/>
            </w:tcBorders>
            <w:hideMark/>
          </w:tcPr>
          <w:p w14:paraId="68F98110" w14:textId="77777777" w:rsidR="00D240D3" w:rsidRPr="00D240D3" w:rsidRDefault="00D240D3" w:rsidP="003F7DDF">
            <w:pPr>
              <w:spacing w:before="0" w:after="0" w:line="278" w:lineRule="auto"/>
              <w:rPr>
                <w:lang w:val="sq-AL"/>
              </w:rPr>
            </w:pPr>
            <w:r w:rsidRPr="00D240D3">
              <w:rPr>
                <w:lang w:val="sq-AL"/>
              </w:rPr>
              <w:t>6</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46D92FFC" w14:textId="77777777" w:rsidR="00D240D3" w:rsidRPr="00D240D3" w:rsidRDefault="00D240D3" w:rsidP="003F7DDF">
            <w:pPr>
              <w:spacing w:before="0" w:after="0" w:line="278" w:lineRule="auto"/>
              <w:rPr>
                <w:lang w:val="sq-AL"/>
              </w:rPr>
            </w:pPr>
            <w:r w:rsidRPr="00D240D3">
              <w:rPr>
                <w:lang w:val="sq-AL"/>
              </w:rPr>
              <w:t>C1,C2</w:t>
            </w:r>
          </w:p>
        </w:tc>
      </w:tr>
      <w:tr w:rsidR="00D240D3" w:rsidRPr="00D240D3" w14:paraId="3CF78D79" w14:textId="77777777" w:rsidTr="003F7DDF">
        <w:tc>
          <w:tcPr>
            <w:tcW w:w="8189" w:type="dxa"/>
            <w:tcBorders>
              <w:top w:val="single" w:sz="4" w:space="0" w:color="auto"/>
              <w:left w:val="single" w:sz="4" w:space="0" w:color="auto"/>
              <w:bottom w:val="nil"/>
              <w:right w:val="single" w:sz="4" w:space="0" w:color="auto"/>
            </w:tcBorders>
            <w:hideMark/>
          </w:tcPr>
          <w:p w14:paraId="07030ECA" w14:textId="77777777" w:rsidR="00D240D3" w:rsidRPr="00D240D3" w:rsidRDefault="00D240D3" w:rsidP="003F7DDF">
            <w:pPr>
              <w:spacing w:before="0" w:after="0" w:line="278" w:lineRule="auto"/>
              <w:rPr>
                <w:lang w:val="sq-AL"/>
              </w:rPr>
            </w:pPr>
            <w:r w:rsidRPr="00D240D3">
              <w:rPr>
                <w:lang w:val="sq-AL"/>
              </w:rPr>
              <w:t xml:space="preserve">2.2 A ka të bëjë projekti me </w:t>
            </w:r>
            <w:r w:rsidRPr="00D240D3">
              <w:rPr>
                <w:b/>
                <w:lang w:val="sq-AL"/>
              </w:rPr>
              <w:t>temat prioritare</w:t>
            </w:r>
            <w:r w:rsidRPr="00D240D3">
              <w:rPr>
                <w:lang w:val="sq-AL"/>
              </w:rPr>
              <w:t xml:space="preserve"> </w:t>
            </w:r>
            <w:r w:rsidRPr="00D240D3">
              <w:rPr>
                <w:bCs/>
                <w:lang w:val="sq-AL"/>
              </w:rPr>
              <w:t>për këtë thirrje</w:t>
            </w:r>
            <w:r w:rsidRPr="00D240D3">
              <w:rPr>
                <w:lang w:val="sq-AL"/>
              </w:rPr>
              <w:t xml:space="preserve">? </w:t>
            </w:r>
          </w:p>
        </w:tc>
        <w:tc>
          <w:tcPr>
            <w:tcW w:w="1081" w:type="dxa"/>
            <w:tcBorders>
              <w:top w:val="single" w:sz="4" w:space="0" w:color="auto"/>
              <w:left w:val="single" w:sz="4" w:space="0" w:color="auto"/>
              <w:bottom w:val="nil"/>
              <w:right w:val="single" w:sz="4" w:space="0" w:color="auto"/>
            </w:tcBorders>
            <w:hideMark/>
          </w:tcPr>
          <w:p w14:paraId="1B5B172E" w14:textId="77777777" w:rsidR="00D240D3" w:rsidRPr="00D240D3" w:rsidRDefault="00D240D3" w:rsidP="003F7DDF">
            <w:pPr>
              <w:spacing w:before="0" w:after="0" w:line="278" w:lineRule="auto"/>
              <w:rPr>
                <w:lang w:val="sq-AL"/>
              </w:rPr>
            </w:pPr>
            <w:r w:rsidRPr="00D240D3">
              <w:rPr>
                <w:lang w:val="sq-AL"/>
              </w:rPr>
              <w:t>6</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1094F13E" w14:textId="77777777" w:rsidR="00D240D3" w:rsidRPr="00D240D3" w:rsidRDefault="00D240D3" w:rsidP="003F7DDF">
            <w:pPr>
              <w:spacing w:before="0" w:after="0" w:line="278" w:lineRule="auto"/>
              <w:rPr>
                <w:lang w:val="sq-AL"/>
              </w:rPr>
            </w:pPr>
            <w:r w:rsidRPr="00D240D3">
              <w:rPr>
                <w:lang w:val="sq-AL"/>
              </w:rPr>
              <w:t>C3</w:t>
            </w:r>
          </w:p>
        </w:tc>
      </w:tr>
      <w:tr w:rsidR="00D240D3" w:rsidRPr="00D240D3" w14:paraId="3A1B4C9E"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7FFB2C67" w14:textId="77777777" w:rsidR="00D240D3" w:rsidRPr="00D240D3" w:rsidRDefault="00D240D3" w:rsidP="003F7DDF">
            <w:pPr>
              <w:spacing w:before="0" w:after="0" w:line="278" w:lineRule="auto"/>
              <w:rPr>
                <w:lang w:val="sq-AL"/>
              </w:rPr>
            </w:pPr>
            <w:r w:rsidRPr="00D240D3">
              <w:rPr>
                <w:lang w:val="sq-AL"/>
              </w:rPr>
              <w:t xml:space="preserve">2.3 Sa është relevant ky projekt për </w:t>
            </w:r>
            <w:r w:rsidRPr="00D240D3">
              <w:rPr>
                <w:b/>
                <w:lang w:val="sq-AL"/>
              </w:rPr>
              <w:t>nevojat</w:t>
            </w:r>
            <w:r w:rsidRPr="00D240D3">
              <w:rPr>
                <w:lang w:val="sq-AL"/>
              </w:rPr>
              <w:t xml:space="preserve"> dhe sfidat e komunave? </w:t>
            </w:r>
          </w:p>
        </w:tc>
        <w:tc>
          <w:tcPr>
            <w:tcW w:w="1081" w:type="dxa"/>
            <w:tcBorders>
              <w:top w:val="single" w:sz="4" w:space="0" w:color="auto"/>
              <w:left w:val="single" w:sz="4" w:space="0" w:color="auto"/>
              <w:bottom w:val="single" w:sz="4" w:space="0" w:color="auto"/>
              <w:right w:val="single" w:sz="4" w:space="0" w:color="auto"/>
            </w:tcBorders>
            <w:hideMark/>
          </w:tcPr>
          <w:p w14:paraId="61E35644" w14:textId="77777777" w:rsidR="00D240D3" w:rsidRPr="00D240D3" w:rsidRDefault="00D240D3" w:rsidP="003F7DDF">
            <w:pPr>
              <w:spacing w:before="0" w:after="0" w:line="278" w:lineRule="auto"/>
              <w:rPr>
                <w:lang w:val="sq-AL"/>
              </w:rPr>
            </w:pPr>
            <w:r w:rsidRPr="00D240D3">
              <w:rPr>
                <w:lang w:val="sq-AL"/>
              </w:rPr>
              <w:t>6</w:t>
            </w:r>
          </w:p>
        </w:tc>
        <w:tc>
          <w:tcPr>
            <w:tcW w:w="900" w:type="dxa"/>
            <w:tcBorders>
              <w:top w:val="nil"/>
              <w:left w:val="single" w:sz="4" w:space="0" w:color="auto"/>
              <w:bottom w:val="nil"/>
              <w:right w:val="single" w:sz="4" w:space="0" w:color="auto"/>
            </w:tcBorders>
            <w:shd w:val="pct10" w:color="auto" w:fill="FFFFFF"/>
            <w:hideMark/>
          </w:tcPr>
          <w:p w14:paraId="69714970" w14:textId="77777777" w:rsidR="00D240D3" w:rsidRPr="00D240D3" w:rsidRDefault="00D240D3" w:rsidP="003F7DDF">
            <w:pPr>
              <w:spacing w:before="0" w:after="0" w:line="278" w:lineRule="auto"/>
              <w:rPr>
                <w:lang w:val="sq-AL"/>
              </w:rPr>
            </w:pPr>
            <w:r w:rsidRPr="00D240D3">
              <w:rPr>
                <w:lang w:val="sq-AL"/>
              </w:rPr>
              <w:t>C3</w:t>
            </w:r>
          </w:p>
        </w:tc>
      </w:tr>
      <w:tr w:rsidR="00D240D3" w:rsidRPr="00D240D3" w14:paraId="2AC75491"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445717B3" w14:textId="77777777" w:rsidR="00D240D3" w:rsidRPr="00D240D3" w:rsidRDefault="00D240D3" w:rsidP="003F7DDF">
            <w:pPr>
              <w:spacing w:before="0" w:after="0" w:line="278" w:lineRule="auto"/>
              <w:rPr>
                <w:lang w:val="sq-AL"/>
              </w:rPr>
            </w:pPr>
            <w:r w:rsidRPr="00D240D3">
              <w:rPr>
                <w:lang w:val="sq-AL"/>
              </w:rPr>
              <w:t xml:space="preserve">2.4 Si do të kontribuojnë rezultatet nga bashkëpunimi në </w:t>
            </w:r>
            <w:r w:rsidRPr="00D240D3">
              <w:rPr>
                <w:b/>
                <w:lang w:val="sq-AL"/>
              </w:rPr>
              <w:t>tejkalimin e pengesave ekzistuese</w:t>
            </w:r>
            <w:r w:rsidRPr="00D240D3">
              <w:rPr>
                <w:b/>
                <w:bCs/>
                <w:lang w:val="sq-AL"/>
              </w:rPr>
              <w:t>?</w:t>
            </w:r>
            <w:r w:rsidRPr="00D240D3">
              <w:rPr>
                <w:lang w:val="sq-AL"/>
              </w:rPr>
              <w:t xml:space="preserve"> </w:t>
            </w:r>
          </w:p>
        </w:tc>
        <w:tc>
          <w:tcPr>
            <w:tcW w:w="1081" w:type="dxa"/>
            <w:tcBorders>
              <w:top w:val="single" w:sz="4" w:space="0" w:color="auto"/>
              <w:left w:val="single" w:sz="4" w:space="0" w:color="auto"/>
              <w:bottom w:val="single" w:sz="4" w:space="0" w:color="auto"/>
              <w:right w:val="single" w:sz="4" w:space="0" w:color="auto"/>
            </w:tcBorders>
            <w:hideMark/>
          </w:tcPr>
          <w:p w14:paraId="5C3500BF" w14:textId="77777777" w:rsidR="00D240D3" w:rsidRPr="00D240D3" w:rsidRDefault="00D240D3" w:rsidP="003F7DDF">
            <w:pPr>
              <w:spacing w:before="0" w:after="0" w:line="278" w:lineRule="auto"/>
              <w:rPr>
                <w:lang w:val="sq-AL"/>
              </w:rPr>
            </w:pPr>
            <w:r w:rsidRPr="00D240D3">
              <w:rPr>
                <w:lang w:val="sq-AL"/>
              </w:rPr>
              <w:t>6</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786A8D9A" w14:textId="77777777" w:rsidR="00D240D3" w:rsidRPr="00D240D3" w:rsidRDefault="00D240D3" w:rsidP="003F7DDF">
            <w:pPr>
              <w:spacing w:before="0" w:after="0" w:line="278" w:lineRule="auto"/>
              <w:rPr>
                <w:lang w:val="sq-AL"/>
              </w:rPr>
            </w:pPr>
            <w:r w:rsidRPr="00D240D3">
              <w:rPr>
                <w:lang w:val="sq-AL"/>
              </w:rPr>
              <w:t>C4</w:t>
            </w:r>
          </w:p>
        </w:tc>
      </w:tr>
      <w:tr w:rsidR="00D240D3" w:rsidRPr="00D240D3" w14:paraId="1BA07EAA"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3C040FD3" w14:textId="77777777" w:rsidR="00D240D3" w:rsidRPr="00D240D3" w:rsidRDefault="00D240D3" w:rsidP="003F7DDF">
            <w:pPr>
              <w:spacing w:before="0" w:after="0" w:line="278" w:lineRule="auto"/>
              <w:rPr>
                <w:lang w:val="sq-AL"/>
              </w:rPr>
            </w:pPr>
            <w:r w:rsidRPr="00D240D3">
              <w:rPr>
                <w:lang w:val="sq-AL"/>
              </w:rPr>
              <w:t xml:space="preserve">2.5 A janë përzgjedhur NJVL-të dhe palët e tjera të interesuara strategjikisht dhe me role qartë të përcaktuar në bashkëpunimin e propozuar? </w:t>
            </w:r>
          </w:p>
        </w:tc>
        <w:tc>
          <w:tcPr>
            <w:tcW w:w="1081" w:type="dxa"/>
            <w:tcBorders>
              <w:top w:val="single" w:sz="4" w:space="0" w:color="auto"/>
              <w:left w:val="single" w:sz="4" w:space="0" w:color="auto"/>
              <w:bottom w:val="single" w:sz="4" w:space="0" w:color="auto"/>
              <w:right w:val="single" w:sz="4" w:space="0" w:color="auto"/>
            </w:tcBorders>
            <w:hideMark/>
          </w:tcPr>
          <w:p w14:paraId="02DFE0A1" w14:textId="77777777" w:rsidR="00D240D3" w:rsidRPr="00D240D3" w:rsidRDefault="00D240D3" w:rsidP="003F7DDF">
            <w:pPr>
              <w:spacing w:before="0" w:after="0" w:line="278" w:lineRule="auto"/>
              <w:rPr>
                <w:lang w:val="sq-AL"/>
              </w:rPr>
            </w:pPr>
            <w:r w:rsidRPr="00D240D3">
              <w:rPr>
                <w:lang w:val="sq-AL"/>
              </w:rPr>
              <w:t>6</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61B94532" w14:textId="77777777" w:rsidR="00D240D3" w:rsidRPr="00D240D3" w:rsidRDefault="00D240D3" w:rsidP="003F7DDF">
            <w:pPr>
              <w:spacing w:before="0" w:after="0" w:line="278" w:lineRule="auto"/>
              <w:rPr>
                <w:lang w:val="sq-AL"/>
              </w:rPr>
            </w:pPr>
            <w:r w:rsidRPr="00D240D3">
              <w:rPr>
                <w:lang w:val="sq-AL"/>
              </w:rPr>
              <w:t>C3</w:t>
            </w:r>
          </w:p>
        </w:tc>
      </w:tr>
      <w:tr w:rsidR="00D240D3" w:rsidRPr="00D240D3" w14:paraId="61439F46" w14:textId="77777777" w:rsidTr="003F7DDF">
        <w:tc>
          <w:tcPr>
            <w:tcW w:w="8189" w:type="dxa"/>
            <w:tcBorders>
              <w:top w:val="nil"/>
              <w:left w:val="single" w:sz="4" w:space="0" w:color="auto"/>
              <w:bottom w:val="single" w:sz="4" w:space="0" w:color="auto"/>
              <w:right w:val="single" w:sz="4" w:space="0" w:color="auto"/>
            </w:tcBorders>
            <w:shd w:val="pct10" w:color="auto" w:fill="FFFFFF"/>
            <w:vAlign w:val="center"/>
            <w:hideMark/>
          </w:tcPr>
          <w:p w14:paraId="7727EEA9" w14:textId="77777777" w:rsidR="00D240D3" w:rsidRPr="00D240D3" w:rsidRDefault="00D240D3" w:rsidP="003F7DDF">
            <w:pPr>
              <w:spacing w:before="0" w:after="0" w:line="278" w:lineRule="auto"/>
              <w:rPr>
                <w:lang w:val="sq-AL"/>
              </w:rPr>
            </w:pPr>
            <w:r w:rsidRPr="00D240D3">
              <w:rPr>
                <w:b/>
                <w:lang w:val="sq-AL"/>
              </w:rPr>
              <w:t>3. Metodologjia</w:t>
            </w:r>
          </w:p>
        </w:tc>
        <w:tc>
          <w:tcPr>
            <w:tcW w:w="1081" w:type="dxa"/>
            <w:tcBorders>
              <w:top w:val="nil"/>
              <w:left w:val="single" w:sz="4" w:space="0" w:color="auto"/>
              <w:bottom w:val="single" w:sz="4" w:space="0" w:color="auto"/>
              <w:right w:val="single" w:sz="4" w:space="0" w:color="auto"/>
            </w:tcBorders>
            <w:shd w:val="pct10" w:color="auto" w:fill="FFFFFF"/>
            <w:vAlign w:val="center"/>
            <w:hideMark/>
          </w:tcPr>
          <w:p w14:paraId="51FBBE5B" w14:textId="77777777" w:rsidR="00D240D3" w:rsidRPr="00D240D3" w:rsidRDefault="00D240D3" w:rsidP="003F7DDF">
            <w:pPr>
              <w:spacing w:before="0" w:after="0" w:line="278" w:lineRule="auto"/>
              <w:rPr>
                <w:b/>
                <w:lang w:val="sq-AL"/>
              </w:rPr>
            </w:pPr>
            <w:r w:rsidRPr="00D240D3">
              <w:rPr>
                <w:b/>
                <w:lang w:val="sq-AL"/>
              </w:rPr>
              <w:t>Маks.10</w:t>
            </w:r>
          </w:p>
        </w:tc>
        <w:tc>
          <w:tcPr>
            <w:tcW w:w="900" w:type="dxa"/>
            <w:tcBorders>
              <w:top w:val="single" w:sz="4" w:space="0" w:color="auto"/>
              <w:left w:val="single" w:sz="4" w:space="0" w:color="auto"/>
              <w:bottom w:val="single" w:sz="4" w:space="0" w:color="auto"/>
              <w:right w:val="single" w:sz="4" w:space="0" w:color="auto"/>
            </w:tcBorders>
          </w:tcPr>
          <w:p w14:paraId="41C297BA" w14:textId="77777777" w:rsidR="00D240D3" w:rsidRPr="00D240D3" w:rsidRDefault="00D240D3" w:rsidP="003F7DDF">
            <w:pPr>
              <w:spacing w:before="0" w:after="0" w:line="278" w:lineRule="auto"/>
              <w:rPr>
                <w:b/>
                <w:lang w:val="sq-AL"/>
              </w:rPr>
            </w:pPr>
          </w:p>
        </w:tc>
      </w:tr>
      <w:tr w:rsidR="00D240D3" w:rsidRPr="00D240D3" w14:paraId="13F673AB"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7A421F10" w14:textId="77777777" w:rsidR="00D240D3" w:rsidRPr="00D240D3" w:rsidRDefault="00D240D3" w:rsidP="003F7DDF">
            <w:pPr>
              <w:spacing w:before="0" w:after="0" w:line="278" w:lineRule="auto"/>
              <w:rPr>
                <w:lang w:val="sq-AL"/>
              </w:rPr>
            </w:pPr>
            <w:r w:rsidRPr="00D240D3">
              <w:rPr>
                <w:lang w:val="sq-AL"/>
              </w:rPr>
              <w:t xml:space="preserve">3.1 A janë </w:t>
            </w:r>
            <w:r w:rsidRPr="00D240D3">
              <w:rPr>
                <w:b/>
                <w:lang w:val="sq-AL"/>
              </w:rPr>
              <w:t>aktivitetet</w:t>
            </w:r>
            <w:r w:rsidRPr="00D240D3">
              <w:rPr>
                <w:lang w:val="sq-AL"/>
              </w:rPr>
              <w:t xml:space="preserve"> e propozuara të përshtatshme, praktike dhe në përputhje me objektivat dhe rezultatet e pritura? </w:t>
            </w:r>
          </w:p>
        </w:tc>
        <w:tc>
          <w:tcPr>
            <w:tcW w:w="1081" w:type="dxa"/>
            <w:tcBorders>
              <w:top w:val="single" w:sz="4" w:space="0" w:color="auto"/>
              <w:left w:val="single" w:sz="4" w:space="0" w:color="auto"/>
              <w:bottom w:val="nil"/>
              <w:right w:val="single" w:sz="4" w:space="0" w:color="auto"/>
            </w:tcBorders>
            <w:hideMark/>
          </w:tcPr>
          <w:p w14:paraId="55AE9276" w14:textId="77777777" w:rsidR="00D240D3" w:rsidRPr="00D240D3" w:rsidRDefault="00D240D3" w:rsidP="003F7DDF">
            <w:pPr>
              <w:spacing w:before="0" w:after="0" w:line="278" w:lineRule="auto"/>
              <w:rPr>
                <w:lang w:val="sq-AL"/>
              </w:rPr>
            </w:pPr>
            <w:r w:rsidRPr="00D240D3">
              <w:rPr>
                <w:lang w:val="sq-AL"/>
              </w:rPr>
              <w:t>7</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25359734" w14:textId="77777777" w:rsidR="00D240D3" w:rsidRPr="00D240D3" w:rsidRDefault="00D240D3" w:rsidP="003F7DDF">
            <w:pPr>
              <w:spacing w:before="0" w:after="0" w:line="278" w:lineRule="auto"/>
              <w:rPr>
                <w:lang w:val="sq-AL"/>
              </w:rPr>
            </w:pPr>
            <w:r w:rsidRPr="00D240D3">
              <w:rPr>
                <w:lang w:val="sq-AL"/>
              </w:rPr>
              <w:t>C3</w:t>
            </w:r>
          </w:p>
        </w:tc>
      </w:tr>
      <w:tr w:rsidR="00D240D3" w:rsidRPr="00D240D3" w14:paraId="4BAF60F5"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70C02F6D" w14:textId="77777777" w:rsidR="00D240D3" w:rsidRPr="00D240D3" w:rsidRDefault="00D240D3" w:rsidP="003F7DDF">
            <w:pPr>
              <w:spacing w:before="0" w:after="0" w:line="278" w:lineRule="auto"/>
              <w:rPr>
                <w:lang w:val="sq-AL"/>
              </w:rPr>
            </w:pPr>
            <w:r w:rsidRPr="00D240D3">
              <w:rPr>
                <w:lang w:val="sq-AL"/>
              </w:rPr>
              <w:t xml:space="preserve">3.2 A është </w:t>
            </w:r>
            <w:r w:rsidRPr="00D240D3">
              <w:rPr>
                <w:b/>
                <w:lang w:val="sq-AL"/>
              </w:rPr>
              <w:t>plani kohor</w:t>
            </w:r>
            <w:r w:rsidRPr="00D240D3">
              <w:rPr>
                <w:lang w:val="sq-AL"/>
              </w:rPr>
              <w:t xml:space="preserve"> për realizim të projektit i qartë dhe real dhe a përshtatet në kuadër të kornizës së paraparë kohore?</w:t>
            </w:r>
          </w:p>
        </w:tc>
        <w:tc>
          <w:tcPr>
            <w:tcW w:w="1081" w:type="dxa"/>
            <w:tcBorders>
              <w:top w:val="single" w:sz="4" w:space="0" w:color="auto"/>
              <w:left w:val="single" w:sz="4" w:space="0" w:color="auto"/>
              <w:bottom w:val="single" w:sz="4" w:space="0" w:color="auto"/>
              <w:right w:val="single" w:sz="4" w:space="0" w:color="auto"/>
            </w:tcBorders>
            <w:hideMark/>
          </w:tcPr>
          <w:p w14:paraId="17E84D4E" w14:textId="77777777" w:rsidR="00D240D3" w:rsidRPr="00D240D3" w:rsidRDefault="00D240D3" w:rsidP="003F7DDF">
            <w:pPr>
              <w:spacing w:before="0" w:after="0" w:line="278" w:lineRule="auto"/>
              <w:rPr>
                <w:lang w:val="sq-AL"/>
              </w:rPr>
            </w:pPr>
            <w:r w:rsidRPr="00D240D3">
              <w:rPr>
                <w:lang w:val="sq-AL"/>
              </w:rPr>
              <w:t>3</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45EA619B" w14:textId="77777777" w:rsidR="00D240D3" w:rsidRPr="00D240D3" w:rsidRDefault="00D240D3" w:rsidP="003F7DDF">
            <w:pPr>
              <w:spacing w:before="0" w:after="0" w:line="278" w:lineRule="auto"/>
              <w:rPr>
                <w:lang w:val="sq-AL"/>
              </w:rPr>
            </w:pPr>
            <w:r w:rsidRPr="00D240D3">
              <w:rPr>
                <w:lang w:val="sq-AL"/>
              </w:rPr>
              <w:t>C 3.1</w:t>
            </w:r>
          </w:p>
        </w:tc>
      </w:tr>
      <w:tr w:rsidR="00D240D3" w:rsidRPr="00D240D3" w14:paraId="326D5B95" w14:textId="77777777" w:rsidTr="003F7DDF">
        <w:tc>
          <w:tcPr>
            <w:tcW w:w="818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277531" w14:textId="77777777" w:rsidR="00D240D3" w:rsidRPr="00D240D3" w:rsidRDefault="00D240D3" w:rsidP="003F7DDF">
            <w:pPr>
              <w:spacing w:before="0" w:after="0" w:line="278" w:lineRule="auto"/>
              <w:rPr>
                <w:lang w:val="sq-AL"/>
              </w:rPr>
            </w:pPr>
            <w:r w:rsidRPr="00D240D3">
              <w:rPr>
                <w:lang w:val="sq-AL"/>
              </w:rPr>
              <w:br w:type="page"/>
            </w:r>
            <w:r w:rsidRPr="00D240D3">
              <w:rPr>
                <w:b/>
                <w:lang w:val="sq-AL"/>
              </w:rPr>
              <w:t>4. Përfitime-ndikim-qëndrueshmëri</w:t>
            </w:r>
          </w:p>
        </w:tc>
        <w:tc>
          <w:tcPr>
            <w:tcW w:w="108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EC798A3" w14:textId="77777777" w:rsidR="00D240D3" w:rsidRPr="00D240D3" w:rsidRDefault="00D240D3" w:rsidP="003F7DDF">
            <w:pPr>
              <w:spacing w:before="0" w:after="0" w:line="278" w:lineRule="auto"/>
              <w:rPr>
                <w:b/>
                <w:lang w:val="sq-AL"/>
              </w:rPr>
            </w:pPr>
            <w:r w:rsidRPr="00D240D3">
              <w:rPr>
                <w:b/>
                <w:lang w:val="sq-AL"/>
              </w:rPr>
              <w:t>30</w:t>
            </w:r>
          </w:p>
        </w:tc>
        <w:tc>
          <w:tcPr>
            <w:tcW w:w="900" w:type="dxa"/>
            <w:tcBorders>
              <w:top w:val="single" w:sz="4" w:space="0" w:color="auto"/>
              <w:left w:val="single" w:sz="4" w:space="0" w:color="auto"/>
              <w:bottom w:val="single" w:sz="4" w:space="0" w:color="auto"/>
              <w:right w:val="single" w:sz="4" w:space="0" w:color="auto"/>
            </w:tcBorders>
          </w:tcPr>
          <w:p w14:paraId="2A379C21" w14:textId="77777777" w:rsidR="00D240D3" w:rsidRPr="00D240D3" w:rsidRDefault="00D240D3" w:rsidP="003F7DDF">
            <w:pPr>
              <w:spacing w:before="0" w:after="0" w:line="278" w:lineRule="auto"/>
              <w:rPr>
                <w:b/>
                <w:lang w:val="sq-AL"/>
              </w:rPr>
            </w:pPr>
          </w:p>
        </w:tc>
      </w:tr>
      <w:tr w:rsidR="00D240D3" w:rsidRPr="00D240D3" w14:paraId="588C44AA"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285F2272" w14:textId="77777777" w:rsidR="00D240D3" w:rsidRPr="00D240D3" w:rsidRDefault="00D240D3" w:rsidP="003F7DDF">
            <w:pPr>
              <w:spacing w:before="0" w:after="0" w:line="278" w:lineRule="auto"/>
              <w:rPr>
                <w:lang w:val="sq-AL"/>
              </w:rPr>
            </w:pPr>
            <w:r w:rsidRPr="00D240D3">
              <w:rPr>
                <w:lang w:val="sq-AL"/>
              </w:rPr>
              <w:t xml:space="preserve">4.1 A ka </w:t>
            </w:r>
            <w:r w:rsidRPr="00D240D3">
              <w:rPr>
                <w:b/>
                <w:lang w:val="sq-AL"/>
              </w:rPr>
              <w:t>përfitime</w:t>
            </w:r>
            <w:r w:rsidRPr="00D240D3">
              <w:rPr>
                <w:lang w:val="sq-AL"/>
              </w:rPr>
              <w:t xml:space="preserve"> të elaboruara afatshkurta dhe afatgjata nga propozim projekti?</w:t>
            </w:r>
          </w:p>
        </w:tc>
        <w:tc>
          <w:tcPr>
            <w:tcW w:w="1081" w:type="dxa"/>
            <w:tcBorders>
              <w:top w:val="single" w:sz="4" w:space="0" w:color="auto"/>
              <w:left w:val="single" w:sz="4" w:space="0" w:color="auto"/>
              <w:bottom w:val="single" w:sz="4" w:space="0" w:color="auto"/>
              <w:right w:val="single" w:sz="4" w:space="0" w:color="auto"/>
            </w:tcBorders>
            <w:hideMark/>
          </w:tcPr>
          <w:p w14:paraId="64B9358C" w14:textId="77777777" w:rsidR="00D240D3" w:rsidRPr="00D240D3" w:rsidRDefault="00D240D3" w:rsidP="003F7DDF">
            <w:pPr>
              <w:spacing w:before="0" w:after="0" w:line="278" w:lineRule="auto"/>
              <w:rPr>
                <w:lang w:val="sq-AL"/>
              </w:rPr>
            </w:pPr>
            <w:r w:rsidRPr="00D240D3">
              <w:rPr>
                <w:lang w:val="sq-AL"/>
              </w:rPr>
              <w:t>10</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3048164D" w14:textId="77777777" w:rsidR="00D240D3" w:rsidRPr="00D240D3" w:rsidRDefault="00D240D3" w:rsidP="003F7DDF">
            <w:pPr>
              <w:spacing w:before="0" w:after="0" w:line="278" w:lineRule="auto"/>
              <w:rPr>
                <w:lang w:val="sq-AL"/>
              </w:rPr>
            </w:pPr>
            <w:r w:rsidRPr="00D240D3">
              <w:rPr>
                <w:lang w:val="sq-AL"/>
              </w:rPr>
              <w:t>C.4</w:t>
            </w:r>
          </w:p>
        </w:tc>
      </w:tr>
      <w:tr w:rsidR="00D240D3" w:rsidRPr="00D240D3" w14:paraId="75E3970B"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18330C8B" w14:textId="77777777" w:rsidR="00D240D3" w:rsidRPr="00D240D3" w:rsidRDefault="00D240D3" w:rsidP="003F7DDF">
            <w:pPr>
              <w:spacing w:before="0" w:after="0" w:line="278" w:lineRule="auto"/>
              <w:rPr>
                <w:lang w:val="sq-AL"/>
              </w:rPr>
            </w:pPr>
            <w:r w:rsidRPr="00D240D3">
              <w:rPr>
                <w:lang w:val="sq-AL"/>
              </w:rPr>
              <w:t xml:space="preserve">4.2 A është bashkëpunimi i propozuar një zgjidhje inovative për tejkalimin e sfidave të njësive të vetëqeverisjes lokale dhe a do të gjenerojë </w:t>
            </w:r>
            <w:r w:rsidRPr="00D240D3">
              <w:rPr>
                <w:b/>
                <w:lang w:val="sq-AL"/>
              </w:rPr>
              <w:t>kursime të shpenzimeve</w:t>
            </w:r>
            <w:r w:rsidRPr="00D240D3">
              <w:rPr>
                <w:lang w:val="sq-AL"/>
              </w:rPr>
              <w:t xml:space="preserve"> (afatshkurtra dhe afatgjate) në buxhetet komunale? A janë bashkangjitur të dhëna kuantitative?</w:t>
            </w:r>
          </w:p>
        </w:tc>
        <w:tc>
          <w:tcPr>
            <w:tcW w:w="1081" w:type="dxa"/>
            <w:tcBorders>
              <w:top w:val="single" w:sz="4" w:space="0" w:color="auto"/>
              <w:left w:val="single" w:sz="4" w:space="0" w:color="auto"/>
              <w:bottom w:val="single" w:sz="4" w:space="0" w:color="auto"/>
              <w:right w:val="single" w:sz="4" w:space="0" w:color="auto"/>
            </w:tcBorders>
            <w:hideMark/>
          </w:tcPr>
          <w:p w14:paraId="797501B7" w14:textId="77777777" w:rsidR="00D240D3" w:rsidRPr="00D240D3" w:rsidRDefault="00D240D3" w:rsidP="003F7DDF">
            <w:pPr>
              <w:spacing w:before="0" w:after="0" w:line="278" w:lineRule="auto"/>
              <w:rPr>
                <w:lang w:val="sq-AL"/>
              </w:rPr>
            </w:pPr>
            <w:r w:rsidRPr="00D240D3">
              <w:rPr>
                <w:lang w:val="sq-AL"/>
              </w:rPr>
              <w:t>5</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18CFC5CA" w14:textId="77777777" w:rsidR="00D240D3" w:rsidRPr="00D240D3" w:rsidRDefault="00D240D3" w:rsidP="003F7DDF">
            <w:pPr>
              <w:spacing w:before="0" w:after="0" w:line="278" w:lineRule="auto"/>
              <w:rPr>
                <w:lang w:val="sq-AL"/>
              </w:rPr>
            </w:pPr>
            <w:r w:rsidRPr="00D240D3">
              <w:rPr>
                <w:lang w:val="sq-AL"/>
              </w:rPr>
              <w:t>C6</w:t>
            </w:r>
          </w:p>
        </w:tc>
      </w:tr>
      <w:tr w:rsidR="00D240D3" w:rsidRPr="00D240D3" w14:paraId="12B8C8CF" w14:textId="77777777" w:rsidTr="003F7DDF">
        <w:tc>
          <w:tcPr>
            <w:tcW w:w="8189" w:type="dxa"/>
            <w:tcBorders>
              <w:top w:val="single" w:sz="4" w:space="0" w:color="auto"/>
              <w:left w:val="single" w:sz="4" w:space="0" w:color="auto"/>
              <w:bottom w:val="single" w:sz="4" w:space="0" w:color="auto"/>
              <w:right w:val="single" w:sz="4" w:space="0" w:color="auto"/>
            </w:tcBorders>
          </w:tcPr>
          <w:p w14:paraId="372677D5" w14:textId="77777777" w:rsidR="00D240D3" w:rsidRPr="00D240D3" w:rsidRDefault="00D240D3" w:rsidP="003F7DDF">
            <w:pPr>
              <w:spacing w:before="0" w:after="0" w:line="278" w:lineRule="auto"/>
              <w:rPr>
                <w:lang w:val="sq-AL"/>
              </w:rPr>
            </w:pPr>
            <w:r w:rsidRPr="00D240D3">
              <w:rPr>
                <w:lang w:val="sq-AL"/>
              </w:rPr>
              <w:t xml:space="preserve">4.3 A janë të </w:t>
            </w:r>
            <w:r w:rsidRPr="00D240D3">
              <w:rPr>
                <w:b/>
                <w:lang w:val="sq-AL"/>
              </w:rPr>
              <w:t>qëndrueshme</w:t>
            </w:r>
            <w:r w:rsidRPr="00D240D3">
              <w:rPr>
                <w:lang w:val="sq-AL"/>
              </w:rPr>
              <w:t xml:space="preserve"> rezultatet e pritshme të propozimit: </w:t>
            </w:r>
          </w:p>
          <w:p w14:paraId="59D00383" w14:textId="77777777" w:rsidR="00D240D3" w:rsidRPr="00D240D3" w:rsidRDefault="00D240D3" w:rsidP="003F7DDF">
            <w:pPr>
              <w:spacing w:before="0" w:after="0" w:line="278" w:lineRule="auto"/>
              <w:rPr>
                <w:lang w:val="sq-AL"/>
              </w:rPr>
            </w:pPr>
            <w:r w:rsidRPr="00D240D3">
              <w:rPr>
                <w:lang w:val="sq-AL"/>
              </w:rPr>
              <w:t xml:space="preserve">- financiarisht (si do të financohet bashkëpunimi pas përfundimit të financimit të projektit)? </w:t>
            </w:r>
          </w:p>
          <w:p w14:paraId="1C23B054" w14:textId="77777777" w:rsidR="00D240D3" w:rsidRPr="00D240D3" w:rsidRDefault="00D240D3" w:rsidP="003F7DDF">
            <w:pPr>
              <w:spacing w:before="0" w:after="0" w:line="278" w:lineRule="auto"/>
              <w:rPr>
                <w:lang w:val="sq-AL"/>
              </w:rPr>
            </w:pPr>
            <w:r w:rsidRPr="00D240D3">
              <w:rPr>
                <w:lang w:val="sq-AL"/>
              </w:rPr>
              <w:t xml:space="preserve">- institucionalisht (a do të mundësojë forma e zgjedhur e bashkëpunimit të vazhdojnë aktivitetet pas përfundimit të grantit? A do të ketë "pronësi lokale" të rezultateve të projektit)? </w:t>
            </w:r>
          </w:p>
          <w:p w14:paraId="20304409" w14:textId="77777777" w:rsidR="00D240D3" w:rsidRPr="00D240D3" w:rsidRDefault="00D240D3" w:rsidP="003F7DDF">
            <w:pPr>
              <w:spacing w:before="0" w:after="0" w:line="278" w:lineRule="auto"/>
              <w:rPr>
                <w:lang w:val="sq-AL"/>
              </w:rPr>
            </w:pPr>
          </w:p>
        </w:tc>
        <w:tc>
          <w:tcPr>
            <w:tcW w:w="1081" w:type="dxa"/>
            <w:tcBorders>
              <w:top w:val="single" w:sz="4" w:space="0" w:color="auto"/>
              <w:left w:val="single" w:sz="4" w:space="0" w:color="auto"/>
              <w:bottom w:val="single" w:sz="4" w:space="0" w:color="auto"/>
              <w:right w:val="single" w:sz="4" w:space="0" w:color="auto"/>
            </w:tcBorders>
            <w:hideMark/>
          </w:tcPr>
          <w:p w14:paraId="76AEC59D" w14:textId="77777777" w:rsidR="00D240D3" w:rsidRPr="00D240D3" w:rsidRDefault="00D240D3" w:rsidP="003F7DDF">
            <w:pPr>
              <w:spacing w:before="0" w:after="0" w:line="278" w:lineRule="auto"/>
              <w:rPr>
                <w:lang w:val="sq-AL"/>
              </w:rPr>
            </w:pPr>
            <w:r w:rsidRPr="00D240D3">
              <w:rPr>
                <w:lang w:val="sq-AL"/>
              </w:rPr>
              <w:t>10</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29E008A7" w14:textId="77777777" w:rsidR="00D240D3" w:rsidRPr="00D240D3" w:rsidRDefault="00D240D3" w:rsidP="003F7DDF">
            <w:pPr>
              <w:spacing w:before="0" w:after="0" w:line="278" w:lineRule="auto"/>
              <w:rPr>
                <w:lang w:val="sq-AL"/>
              </w:rPr>
            </w:pPr>
            <w:r w:rsidRPr="00D240D3">
              <w:rPr>
                <w:lang w:val="sq-AL"/>
              </w:rPr>
              <w:t>C7</w:t>
            </w:r>
          </w:p>
        </w:tc>
      </w:tr>
      <w:tr w:rsidR="00D240D3" w:rsidRPr="00D240D3" w14:paraId="5D9FAC4E" w14:textId="77777777" w:rsidTr="003F7DDF">
        <w:tc>
          <w:tcPr>
            <w:tcW w:w="8189" w:type="dxa"/>
            <w:tcBorders>
              <w:top w:val="single" w:sz="4" w:space="0" w:color="auto"/>
              <w:left w:val="single" w:sz="4" w:space="0" w:color="auto"/>
              <w:bottom w:val="single" w:sz="4" w:space="0" w:color="auto"/>
              <w:right w:val="single" w:sz="4" w:space="0" w:color="auto"/>
            </w:tcBorders>
            <w:vAlign w:val="center"/>
            <w:hideMark/>
          </w:tcPr>
          <w:p w14:paraId="55FC7461" w14:textId="77777777" w:rsidR="00D240D3" w:rsidRPr="00D240D3" w:rsidRDefault="00D240D3" w:rsidP="003F7DDF">
            <w:pPr>
              <w:spacing w:before="0" w:after="0" w:line="278" w:lineRule="auto"/>
              <w:rPr>
                <w:lang w:val="sq-AL"/>
              </w:rPr>
            </w:pPr>
            <w:r w:rsidRPr="00D240D3">
              <w:rPr>
                <w:lang w:val="sq-AL"/>
              </w:rPr>
              <w:t>4.4 A ka nevojë dhe mundësi për të zgjeruar bashkëpunimin e NJVL-ve edhe në fusha të tjera brenda kompetencës së saj?</w:t>
            </w:r>
          </w:p>
        </w:tc>
        <w:tc>
          <w:tcPr>
            <w:tcW w:w="1081" w:type="dxa"/>
            <w:tcBorders>
              <w:top w:val="single" w:sz="4" w:space="0" w:color="auto"/>
              <w:left w:val="single" w:sz="4" w:space="0" w:color="auto"/>
              <w:bottom w:val="single" w:sz="4" w:space="0" w:color="auto"/>
              <w:right w:val="nil"/>
            </w:tcBorders>
            <w:vAlign w:val="center"/>
            <w:hideMark/>
          </w:tcPr>
          <w:p w14:paraId="51099C82" w14:textId="77777777" w:rsidR="00D240D3" w:rsidRPr="00D240D3" w:rsidRDefault="00D240D3" w:rsidP="003F7DDF">
            <w:pPr>
              <w:spacing w:before="0" w:after="0" w:line="278" w:lineRule="auto"/>
              <w:rPr>
                <w:lang w:val="sq-AL"/>
              </w:rPr>
            </w:pPr>
            <w:r w:rsidRPr="00D240D3">
              <w:rPr>
                <w:lang w:val="sq-AL"/>
              </w:rPr>
              <w:t>5</w:t>
            </w:r>
          </w:p>
        </w:tc>
        <w:tc>
          <w:tcPr>
            <w:tcW w:w="900" w:type="dxa"/>
            <w:tcBorders>
              <w:top w:val="single" w:sz="4" w:space="0" w:color="auto"/>
              <w:left w:val="single" w:sz="4" w:space="0" w:color="auto"/>
              <w:bottom w:val="single" w:sz="4" w:space="0" w:color="auto"/>
              <w:right w:val="single" w:sz="4" w:space="0" w:color="auto"/>
            </w:tcBorders>
            <w:hideMark/>
          </w:tcPr>
          <w:p w14:paraId="78C5F6F2" w14:textId="77777777" w:rsidR="00D240D3" w:rsidRPr="00D240D3" w:rsidRDefault="00D240D3" w:rsidP="003F7DDF">
            <w:pPr>
              <w:spacing w:before="0" w:after="0" w:line="278" w:lineRule="auto"/>
              <w:rPr>
                <w:lang w:val="sq-AL"/>
              </w:rPr>
            </w:pPr>
            <w:r w:rsidRPr="00D240D3">
              <w:rPr>
                <w:lang w:val="sq-AL"/>
              </w:rPr>
              <w:t>C7</w:t>
            </w:r>
          </w:p>
        </w:tc>
      </w:tr>
      <w:tr w:rsidR="00D240D3" w:rsidRPr="00D240D3" w14:paraId="108B756D" w14:textId="77777777" w:rsidTr="003F7DDF">
        <w:tc>
          <w:tcPr>
            <w:tcW w:w="818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1A2190E" w14:textId="77777777" w:rsidR="00D240D3" w:rsidRPr="00D240D3" w:rsidRDefault="00D240D3" w:rsidP="003F7DDF">
            <w:pPr>
              <w:spacing w:before="0" w:after="0" w:line="278" w:lineRule="auto"/>
              <w:rPr>
                <w:lang w:val="sq-AL"/>
              </w:rPr>
            </w:pPr>
            <w:r w:rsidRPr="00D240D3">
              <w:rPr>
                <w:lang w:val="sq-AL"/>
              </w:rPr>
              <w:br w:type="page"/>
            </w:r>
            <w:r w:rsidRPr="00D240D3">
              <w:rPr>
                <w:b/>
                <w:lang w:val="sq-AL"/>
              </w:rPr>
              <w:t xml:space="preserve">5. Buxheti dhe efektiviteti i shpenzimeve </w:t>
            </w:r>
          </w:p>
        </w:tc>
        <w:tc>
          <w:tcPr>
            <w:tcW w:w="1081" w:type="dxa"/>
            <w:tcBorders>
              <w:top w:val="single" w:sz="4" w:space="0" w:color="auto"/>
              <w:left w:val="single" w:sz="4" w:space="0" w:color="auto"/>
              <w:bottom w:val="single" w:sz="4" w:space="0" w:color="auto"/>
              <w:right w:val="nil"/>
            </w:tcBorders>
            <w:shd w:val="pct10" w:color="auto" w:fill="FFFFFF"/>
            <w:vAlign w:val="center"/>
            <w:hideMark/>
          </w:tcPr>
          <w:p w14:paraId="52A81D6E" w14:textId="77777777" w:rsidR="00D240D3" w:rsidRPr="00D240D3" w:rsidRDefault="00D240D3" w:rsidP="003F7DDF">
            <w:pPr>
              <w:spacing w:before="0" w:after="0" w:line="278" w:lineRule="auto"/>
              <w:rPr>
                <w:b/>
                <w:lang w:val="sq-AL"/>
              </w:rPr>
            </w:pPr>
            <w:r w:rsidRPr="00D240D3">
              <w:rPr>
                <w:b/>
                <w:lang w:val="sq-AL"/>
              </w:rPr>
              <w:t>Маks.</w:t>
            </w:r>
          </w:p>
          <w:p w14:paraId="167DDBA8" w14:textId="77777777" w:rsidR="00D240D3" w:rsidRPr="00D240D3" w:rsidRDefault="00D240D3" w:rsidP="003F7DDF">
            <w:pPr>
              <w:spacing w:before="0" w:after="0" w:line="278" w:lineRule="auto"/>
              <w:rPr>
                <w:b/>
                <w:lang w:val="sq-AL"/>
              </w:rPr>
            </w:pPr>
            <w:r w:rsidRPr="00D240D3">
              <w:rPr>
                <w:b/>
                <w:lang w:val="sq-AL"/>
              </w:rPr>
              <w:t>8</w:t>
            </w:r>
          </w:p>
        </w:tc>
        <w:tc>
          <w:tcPr>
            <w:tcW w:w="900" w:type="dxa"/>
            <w:tcBorders>
              <w:top w:val="single" w:sz="4" w:space="0" w:color="auto"/>
              <w:left w:val="single" w:sz="4" w:space="0" w:color="auto"/>
              <w:bottom w:val="single" w:sz="4" w:space="0" w:color="auto"/>
              <w:right w:val="single" w:sz="4" w:space="0" w:color="auto"/>
            </w:tcBorders>
          </w:tcPr>
          <w:p w14:paraId="75607593" w14:textId="77777777" w:rsidR="00D240D3" w:rsidRPr="00D240D3" w:rsidRDefault="00D240D3" w:rsidP="003F7DDF">
            <w:pPr>
              <w:spacing w:before="0" w:after="0" w:line="278" w:lineRule="auto"/>
              <w:rPr>
                <w:b/>
                <w:lang w:val="sq-AL"/>
              </w:rPr>
            </w:pPr>
          </w:p>
        </w:tc>
      </w:tr>
      <w:tr w:rsidR="00D240D3" w:rsidRPr="00D240D3" w14:paraId="118A23FC" w14:textId="77777777" w:rsidTr="003F7DDF">
        <w:trPr>
          <w:trHeight w:val="278"/>
        </w:trPr>
        <w:tc>
          <w:tcPr>
            <w:tcW w:w="8189" w:type="dxa"/>
            <w:tcBorders>
              <w:top w:val="single" w:sz="4" w:space="0" w:color="auto"/>
              <w:left w:val="single" w:sz="4" w:space="0" w:color="auto"/>
              <w:bottom w:val="single" w:sz="4" w:space="0" w:color="auto"/>
              <w:right w:val="single" w:sz="4" w:space="0" w:color="auto"/>
            </w:tcBorders>
            <w:hideMark/>
          </w:tcPr>
          <w:p w14:paraId="51249529" w14:textId="77777777" w:rsidR="00D240D3" w:rsidRPr="00D240D3" w:rsidRDefault="00D240D3" w:rsidP="003F7DDF">
            <w:pPr>
              <w:spacing w:before="0" w:after="0" w:line="278" w:lineRule="auto"/>
              <w:rPr>
                <w:lang w:val="sq-AL"/>
              </w:rPr>
            </w:pPr>
            <w:r w:rsidRPr="00D240D3">
              <w:rPr>
                <w:lang w:val="sq-AL"/>
              </w:rPr>
              <w:t>5.1 Kofinancim me 20 %</w:t>
            </w:r>
          </w:p>
        </w:tc>
        <w:tc>
          <w:tcPr>
            <w:tcW w:w="1081" w:type="dxa"/>
            <w:tcBorders>
              <w:top w:val="single" w:sz="4" w:space="0" w:color="auto"/>
              <w:left w:val="single" w:sz="4" w:space="0" w:color="auto"/>
              <w:bottom w:val="single" w:sz="4" w:space="0" w:color="auto"/>
              <w:right w:val="single" w:sz="4" w:space="0" w:color="auto"/>
            </w:tcBorders>
            <w:hideMark/>
          </w:tcPr>
          <w:p w14:paraId="037B3970" w14:textId="77777777" w:rsidR="00D240D3" w:rsidRPr="00D240D3" w:rsidRDefault="00D240D3" w:rsidP="003F7DDF">
            <w:pPr>
              <w:spacing w:before="0" w:after="0" w:line="278" w:lineRule="auto"/>
              <w:rPr>
                <w:lang w:val="sq-AL"/>
              </w:rPr>
            </w:pPr>
            <w:r w:rsidRPr="00D240D3">
              <w:rPr>
                <w:lang w:val="sq-AL"/>
              </w:rPr>
              <w:t>2</w:t>
            </w:r>
          </w:p>
        </w:tc>
        <w:tc>
          <w:tcPr>
            <w:tcW w:w="900" w:type="dxa"/>
            <w:vMerge w:val="restart"/>
            <w:tcBorders>
              <w:top w:val="single" w:sz="4" w:space="0" w:color="auto"/>
              <w:left w:val="single" w:sz="4" w:space="0" w:color="auto"/>
              <w:bottom w:val="single" w:sz="4" w:space="0" w:color="auto"/>
              <w:right w:val="single" w:sz="4" w:space="0" w:color="auto"/>
            </w:tcBorders>
            <w:shd w:val="pct10" w:color="auto" w:fill="FFFFFF"/>
            <w:hideMark/>
          </w:tcPr>
          <w:p w14:paraId="2957349D" w14:textId="77777777" w:rsidR="00D240D3" w:rsidRPr="00D240D3" w:rsidRDefault="00D240D3" w:rsidP="003F7DDF">
            <w:pPr>
              <w:spacing w:before="0" w:after="0" w:line="278" w:lineRule="auto"/>
              <w:rPr>
                <w:lang w:val="sq-AL"/>
              </w:rPr>
            </w:pPr>
            <w:r w:rsidRPr="00D240D3">
              <w:rPr>
                <w:lang w:val="sq-AL"/>
              </w:rPr>
              <w:t>B</w:t>
            </w:r>
          </w:p>
        </w:tc>
      </w:tr>
      <w:tr w:rsidR="00D240D3" w:rsidRPr="00D240D3" w14:paraId="42211653"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7B932FD1" w14:textId="77777777" w:rsidR="00D240D3" w:rsidRPr="00D240D3" w:rsidRDefault="00D240D3" w:rsidP="003F7DDF">
            <w:pPr>
              <w:spacing w:before="0" w:after="0" w:line="278" w:lineRule="auto"/>
              <w:rPr>
                <w:lang w:val="sq-AL"/>
              </w:rPr>
            </w:pPr>
            <w:r w:rsidRPr="00D240D3">
              <w:rPr>
                <w:lang w:val="sq-AL"/>
              </w:rPr>
              <w:t>5.2 Kofinancim me 20-30 %</w:t>
            </w:r>
          </w:p>
        </w:tc>
        <w:tc>
          <w:tcPr>
            <w:tcW w:w="1081" w:type="dxa"/>
            <w:tcBorders>
              <w:top w:val="single" w:sz="4" w:space="0" w:color="auto"/>
              <w:left w:val="single" w:sz="4" w:space="0" w:color="auto"/>
              <w:bottom w:val="single" w:sz="4" w:space="0" w:color="auto"/>
              <w:right w:val="single" w:sz="4" w:space="0" w:color="auto"/>
            </w:tcBorders>
            <w:hideMark/>
          </w:tcPr>
          <w:p w14:paraId="589E6ABF" w14:textId="77777777" w:rsidR="00D240D3" w:rsidRPr="00D240D3" w:rsidRDefault="00D240D3" w:rsidP="003F7DDF">
            <w:pPr>
              <w:spacing w:before="0" w:after="0" w:line="278" w:lineRule="auto"/>
              <w:rPr>
                <w:lang w:val="sq-AL"/>
              </w:rPr>
            </w:pPr>
            <w:r w:rsidRPr="00D240D3">
              <w:rPr>
                <w:lang w:val="sq-AL"/>
              </w:rPr>
              <w:t>4</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0720B1C" w14:textId="77777777" w:rsidR="00D240D3" w:rsidRPr="00D240D3" w:rsidRDefault="00D240D3" w:rsidP="003F7DDF">
            <w:pPr>
              <w:spacing w:before="0" w:after="0" w:line="278" w:lineRule="auto"/>
              <w:rPr>
                <w:lang w:val="sq-AL"/>
              </w:rPr>
            </w:pPr>
          </w:p>
        </w:tc>
      </w:tr>
      <w:tr w:rsidR="00D240D3" w:rsidRPr="00D240D3" w14:paraId="7B7B89F0"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0A62503D" w14:textId="77777777" w:rsidR="00D240D3" w:rsidRPr="00D240D3" w:rsidRDefault="00D240D3" w:rsidP="003F7DDF">
            <w:pPr>
              <w:spacing w:before="0" w:after="0" w:line="278" w:lineRule="auto"/>
              <w:rPr>
                <w:lang w:val="sq-AL"/>
              </w:rPr>
            </w:pPr>
            <w:r w:rsidRPr="00D240D3">
              <w:rPr>
                <w:lang w:val="sq-AL"/>
              </w:rPr>
              <w:t>5.3 Kofinancim 30+ %</w:t>
            </w:r>
          </w:p>
        </w:tc>
        <w:tc>
          <w:tcPr>
            <w:tcW w:w="1081" w:type="dxa"/>
            <w:tcBorders>
              <w:top w:val="single" w:sz="4" w:space="0" w:color="auto"/>
              <w:left w:val="single" w:sz="4" w:space="0" w:color="auto"/>
              <w:bottom w:val="single" w:sz="4" w:space="0" w:color="auto"/>
              <w:right w:val="single" w:sz="4" w:space="0" w:color="auto"/>
            </w:tcBorders>
            <w:hideMark/>
          </w:tcPr>
          <w:p w14:paraId="78ACDEB7" w14:textId="77777777" w:rsidR="00D240D3" w:rsidRPr="00D240D3" w:rsidRDefault="00D240D3" w:rsidP="003F7DDF">
            <w:pPr>
              <w:spacing w:before="0" w:after="0" w:line="278" w:lineRule="auto"/>
              <w:rPr>
                <w:lang w:val="sq-AL"/>
              </w:rPr>
            </w:pPr>
            <w:r w:rsidRPr="00D240D3">
              <w:rPr>
                <w:lang w:val="sq-AL"/>
              </w:rPr>
              <w:t>8</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AE91947" w14:textId="77777777" w:rsidR="00D240D3" w:rsidRPr="00D240D3" w:rsidRDefault="00D240D3" w:rsidP="003F7DDF">
            <w:pPr>
              <w:spacing w:before="0" w:after="0" w:line="278" w:lineRule="auto"/>
              <w:rPr>
                <w:lang w:val="sq-AL"/>
              </w:rPr>
            </w:pPr>
          </w:p>
        </w:tc>
      </w:tr>
      <w:tr w:rsidR="00D240D3" w:rsidRPr="00D240D3" w14:paraId="59216FEF" w14:textId="77777777" w:rsidTr="003F7DDF">
        <w:tc>
          <w:tcPr>
            <w:tcW w:w="8189" w:type="dxa"/>
            <w:tcBorders>
              <w:top w:val="single" w:sz="4" w:space="0" w:color="auto"/>
              <w:left w:val="single" w:sz="4" w:space="0" w:color="auto"/>
              <w:bottom w:val="single" w:sz="4" w:space="0" w:color="auto"/>
              <w:right w:val="single" w:sz="4" w:space="0" w:color="auto"/>
            </w:tcBorders>
            <w:shd w:val="clear" w:color="auto" w:fill="E6E6E6"/>
            <w:hideMark/>
          </w:tcPr>
          <w:p w14:paraId="4D67B186" w14:textId="77777777" w:rsidR="00D240D3" w:rsidRPr="00D240D3" w:rsidRDefault="00D240D3" w:rsidP="003F7DDF">
            <w:pPr>
              <w:spacing w:before="0" w:after="0" w:line="278" w:lineRule="auto"/>
              <w:rPr>
                <w:b/>
                <w:lang w:val="sq-AL"/>
              </w:rPr>
            </w:pPr>
            <w:r w:rsidRPr="00D240D3">
              <w:rPr>
                <w:b/>
                <w:lang w:val="sq-AL"/>
              </w:rPr>
              <w:lastRenderedPageBreak/>
              <w:t xml:space="preserve">6. Çështje të tjera </w:t>
            </w:r>
          </w:p>
        </w:tc>
        <w:tc>
          <w:tcPr>
            <w:tcW w:w="1081" w:type="dxa"/>
            <w:tcBorders>
              <w:top w:val="single" w:sz="4" w:space="0" w:color="auto"/>
              <w:left w:val="single" w:sz="4" w:space="0" w:color="auto"/>
              <w:bottom w:val="single" w:sz="4" w:space="0" w:color="auto"/>
              <w:right w:val="single" w:sz="4" w:space="0" w:color="auto"/>
            </w:tcBorders>
            <w:shd w:val="clear" w:color="auto" w:fill="E6E6E6"/>
            <w:hideMark/>
          </w:tcPr>
          <w:p w14:paraId="1E124CE8" w14:textId="77777777" w:rsidR="00D240D3" w:rsidRPr="00D240D3" w:rsidRDefault="00D240D3" w:rsidP="003F7DDF">
            <w:pPr>
              <w:spacing w:before="0" w:after="0" w:line="278" w:lineRule="auto"/>
              <w:rPr>
                <w:b/>
                <w:lang w:val="sq-AL"/>
              </w:rPr>
            </w:pPr>
            <w:r w:rsidRPr="00D240D3">
              <w:rPr>
                <w:b/>
                <w:lang w:val="sq-AL"/>
              </w:rPr>
              <w:t>Маks.7</w:t>
            </w:r>
          </w:p>
        </w:tc>
        <w:tc>
          <w:tcPr>
            <w:tcW w:w="900" w:type="dxa"/>
            <w:tcBorders>
              <w:top w:val="single" w:sz="4" w:space="0" w:color="auto"/>
              <w:left w:val="single" w:sz="4" w:space="0" w:color="auto"/>
              <w:bottom w:val="single" w:sz="4" w:space="0" w:color="auto"/>
              <w:right w:val="single" w:sz="4" w:space="0" w:color="auto"/>
            </w:tcBorders>
            <w:shd w:val="pct10" w:color="auto" w:fill="FFFFFF"/>
          </w:tcPr>
          <w:p w14:paraId="3F1D10FC" w14:textId="77777777" w:rsidR="00D240D3" w:rsidRPr="00D240D3" w:rsidRDefault="00D240D3" w:rsidP="003F7DDF">
            <w:pPr>
              <w:spacing w:before="0" w:after="0" w:line="278" w:lineRule="auto"/>
              <w:rPr>
                <w:lang w:val="sq-AL"/>
              </w:rPr>
            </w:pPr>
          </w:p>
        </w:tc>
      </w:tr>
      <w:tr w:rsidR="00D240D3" w:rsidRPr="00D240D3" w14:paraId="5EE0EBF0"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72CFFC3D" w14:textId="77777777" w:rsidR="00D240D3" w:rsidRPr="00D240D3" w:rsidRDefault="00D240D3" w:rsidP="003F7DDF">
            <w:pPr>
              <w:spacing w:before="0" w:after="0" w:line="278" w:lineRule="auto"/>
              <w:rPr>
                <w:lang w:val="sq-AL"/>
              </w:rPr>
            </w:pPr>
            <w:r w:rsidRPr="00D240D3">
              <w:rPr>
                <w:lang w:val="sq-AL"/>
              </w:rPr>
              <w:t>6.1. A parashikon projekti zgjidhje digjitale për probleme të caktuara?</w:t>
            </w:r>
          </w:p>
        </w:tc>
        <w:tc>
          <w:tcPr>
            <w:tcW w:w="1081" w:type="dxa"/>
            <w:tcBorders>
              <w:top w:val="single" w:sz="4" w:space="0" w:color="auto"/>
              <w:left w:val="single" w:sz="4" w:space="0" w:color="auto"/>
              <w:bottom w:val="single" w:sz="4" w:space="0" w:color="auto"/>
              <w:right w:val="single" w:sz="4" w:space="0" w:color="auto"/>
            </w:tcBorders>
            <w:hideMark/>
          </w:tcPr>
          <w:p w14:paraId="300C96E3" w14:textId="77777777" w:rsidR="00D240D3" w:rsidRPr="00D240D3" w:rsidRDefault="00D240D3" w:rsidP="003F7DDF">
            <w:pPr>
              <w:spacing w:before="0" w:after="0" w:line="278" w:lineRule="auto"/>
              <w:rPr>
                <w:lang w:val="sq-AL"/>
              </w:rPr>
            </w:pPr>
            <w:r w:rsidRPr="00D240D3">
              <w:rPr>
                <w:lang w:val="sq-AL"/>
              </w:rPr>
              <w:t>5</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6E055D80" w14:textId="77777777" w:rsidR="00D240D3" w:rsidRPr="00D240D3" w:rsidRDefault="00D240D3" w:rsidP="003F7DDF">
            <w:pPr>
              <w:spacing w:before="0" w:after="0" w:line="278" w:lineRule="auto"/>
              <w:rPr>
                <w:lang w:val="sq-AL"/>
              </w:rPr>
            </w:pPr>
            <w:r w:rsidRPr="00D240D3">
              <w:rPr>
                <w:lang w:val="sq-AL"/>
              </w:rPr>
              <w:t>C.9.1</w:t>
            </w:r>
          </w:p>
        </w:tc>
      </w:tr>
      <w:tr w:rsidR="00D240D3" w:rsidRPr="00D240D3" w14:paraId="40223FDE" w14:textId="77777777" w:rsidTr="003F7DDF">
        <w:tc>
          <w:tcPr>
            <w:tcW w:w="8189" w:type="dxa"/>
            <w:tcBorders>
              <w:top w:val="single" w:sz="4" w:space="0" w:color="auto"/>
              <w:left w:val="single" w:sz="4" w:space="0" w:color="auto"/>
              <w:bottom w:val="single" w:sz="4" w:space="0" w:color="auto"/>
              <w:right w:val="single" w:sz="4" w:space="0" w:color="auto"/>
            </w:tcBorders>
            <w:hideMark/>
          </w:tcPr>
          <w:p w14:paraId="75C83A83" w14:textId="77777777" w:rsidR="00D240D3" w:rsidRPr="00D240D3" w:rsidRDefault="00D240D3" w:rsidP="003F7DDF">
            <w:pPr>
              <w:spacing w:before="0" w:after="0" w:line="278" w:lineRule="auto"/>
              <w:rPr>
                <w:lang w:val="sq-AL"/>
              </w:rPr>
            </w:pPr>
            <w:r w:rsidRPr="00D240D3">
              <w:rPr>
                <w:lang w:val="sq-AL"/>
              </w:rPr>
              <w:t xml:space="preserve">6.2. A merr parasysh bashkëpunimi çështjet gjinore?  </w:t>
            </w:r>
          </w:p>
        </w:tc>
        <w:tc>
          <w:tcPr>
            <w:tcW w:w="1081" w:type="dxa"/>
            <w:tcBorders>
              <w:top w:val="single" w:sz="4" w:space="0" w:color="auto"/>
              <w:left w:val="single" w:sz="4" w:space="0" w:color="auto"/>
              <w:bottom w:val="single" w:sz="4" w:space="0" w:color="auto"/>
              <w:right w:val="single" w:sz="4" w:space="0" w:color="auto"/>
            </w:tcBorders>
            <w:hideMark/>
          </w:tcPr>
          <w:p w14:paraId="1D79BC1D" w14:textId="77777777" w:rsidR="00D240D3" w:rsidRPr="00D240D3" w:rsidRDefault="00D240D3" w:rsidP="003F7DDF">
            <w:pPr>
              <w:spacing w:before="0" w:after="0" w:line="278" w:lineRule="auto"/>
              <w:rPr>
                <w:lang w:val="sq-AL"/>
              </w:rPr>
            </w:pPr>
            <w:r w:rsidRPr="00D240D3">
              <w:rPr>
                <w:lang w:val="sq-AL"/>
              </w:rPr>
              <w:t>2</w:t>
            </w:r>
          </w:p>
        </w:tc>
        <w:tc>
          <w:tcPr>
            <w:tcW w:w="900" w:type="dxa"/>
            <w:tcBorders>
              <w:top w:val="single" w:sz="4" w:space="0" w:color="auto"/>
              <w:left w:val="single" w:sz="4" w:space="0" w:color="auto"/>
              <w:bottom w:val="single" w:sz="4" w:space="0" w:color="auto"/>
              <w:right w:val="single" w:sz="4" w:space="0" w:color="auto"/>
            </w:tcBorders>
            <w:shd w:val="pct10" w:color="auto" w:fill="FFFFFF"/>
            <w:hideMark/>
          </w:tcPr>
          <w:p w14:paraId="62325636" w14:textId="77777777" w:rsidR="00D240D3" w:rsidRPr="00D240D3" w:rsidRDefault="00D240D3" w:rsidP="003F7DDF">
            <w:pPr>
              <w:spacing w:before="0" w:after="0" w:line="278" w:lineRule="auto"/>
              <w:rPr>
                <w:lang w:val="sq-AL"/>
              </w:rPr>
            </w:pPr>
            <w:r w:rsidRPr="00D240D3">
              <w:rPr>
                <w:lang w:val="sq-AL"/>
              </w:rPr>
              <w:t>C 9.2</w:t>
            </w:r>
          </w:p>
        </w:tc>
      </w:tr>
      <w:tr w:rsidR="00D240D3" w:rsidRPr="00D240D3" w14:paraId="37A32D4B" w14:textId="77777777" w:rsidTr="003F7DDF">
        <w:trPr>
          <w:gridAfter w:val="1"/>
          <w:wAfter w:w="900" w:type="dxa"/>
        </w:trPr>
        <w:tc>
          <w:tcPr>
            <w:tcW w:w="8189" w:type="dxa"/>
            <w:tcBorders>
              <w:top w:val="single" w:sz="6" w:space="0" w:color="auto"/>
              <w:left w:val="single" w:sz="6" w:space="0" w:color="auto"/>
              <w:bottom w:val="single" w:sz="6" w:space="0" w:color="auto"/>
              <w:right w:val="nil"/>
            </w:tcBorders>
            <w:shd w:val="pct10" w:color="auto" w:fill="FFFFFF"/>
            <w:vAlign w:val="center"/>
            <w:hideMark/>
          </w:tcPr>
          <w:p w14:paraId="7CF8F0DA" w14:textId="77777777" w:rsidR="00D240D3" w:rsidRPr="00D240D3" w:rsidRDefault="00D240D3" w:rsidP="003F7DDF">
            <w:pPr>
              <w:spacing w:before="0" w:after="0" w:line="278" w:lineRule="auto"/>
              <w:rPr>
                <w:b/>
                <w:lang w:val="sq-AL"/>
              </w:rPr>
            </w:pPr>
            <w:r w:rsidRPr="00D240D3">
              <w:rPr>
                <w:b/>
                <w:lang w:val="sq-AL"/>
              </w:rPr>
              <w:t>Maksimumi i pikëve</w:t>
            </w:r>
          </w:p>
        </w:tc>
        <w:tc>
          <w:tcPr>
            <w:tcW w:w="1081" w:type="dxa"/>
            <w:tcBorders>
              <w:top w:val="single" w:sz="6" w:space="0" w:color="auto"/>
              <w:left w:val="single" w:sz="6" w:space="0" w:color="auto"/>
              <w:bottom w:val="single" w:sz="6" w:space="0" w:color="auto"/>
              <w:right w:val="single" w:sz="6" w:space="0" w:color="auto"/>
            </w:tcBorders>
            <w:shd w:val="pct10" w:color="auto" w:fill="FFFFFF"/>
            <w:vAlign w:val="center"/>
            <w:hideMark/>
          </w:tcPr>
          <w:p w14:paraId="753CC6CA" w14:textId="77777777" w:rsidR="00D240D3" w:rsidRPr="00D240D3" w:rsidRDefault="00D240D3" w:rsidP="003F7DDF">
            <w:pPr>
              <w:spacing w:before="0" w:after="0" w:line="278" w:lineRule="auto"/>
              <w:rPr>
                <w:b/>
                <w:lang w:val="sq-AL"/>
              </w:rPr>
            </w:pPr>
            <w:r w:rsidRPr="00D240D3">
              <w:rPr>
                <w:b/>
                <w:lang w:val="sq-AL"/>
              </w:rPr>
              <w:t>100</w:t>
            </w:r>
          </w:p>
        </w:tc>
      </w:tr>
    </w:tbl>
    <w:p w14:paraId="0A0D5E1B" w14:textId="77777777" w:rsidR="00D240D3" w:rsidRPr="00D240D3" w:rsidRDefault="00D240D3" w:rsidP="00D240D3">
      <w:pPr>
        <w:spacing w:after="160" w:line="278" w:lineRule="auto"/>
        <w:rPr>
          <w:lang w:val="sq-AL"/>
        </w:rPr>
      </w:pPr>
    </w:p>
    <w:p w14:paraId="290075EB" w14:textId="77777777" w:rsidR="00E47E5F" w:rsidRDefault="00E47E5F"/>
    <w:sectPr w:rsidR="00E47E5F" w:rsidSect="00522E1C">
      <w:headerReference w:type="default" r:id="rId8"/>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F60C" w14:textId="77777777" w:rsidR="001D0C3F" w:rsidRDefault="001D0C3F" w:rsidP="00D240D3">
      <w:pPr>
        <w:spacing w:before="0" w:after="0" w:line="240" w:lineRule="auto"/>
      </w:pPr>
      <w:r>
        <w:separator/>
      </w:r>
    </w:p>
  </w:endnote>
  <w:endnote w:type="continuationSeparator" w:id="0">
    <w:p w14:paraId="78637756" w14:textId="77777777" w:rsidR="001D0C3F" w:rsidRDefault="001D0C3F" w:rsidP="00D240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70931"/>
      <w:docPartObj>
        <w:docPartGallery w:val="Page Numbers (Bottom of Page)"/>
        <w:docPartUnique/>
      </w:docPartObj>
    </w:sdtPr>
    <w:sdtEndPr>
      <w:rPr>
        <w:noProof/>
      </w:rPr>
    </w:sdtEndPr>
    <w:sdtContent>
      <w:p w14:paraId="79561474" w14:textId="33C75E33" w:rsidR="00522E1C" w:rsidRDefault="00522E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3EF68" w14:textId="77777777" w:rsidR="00522E1C" w:rsidRDefault="00522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66BF" w14:textId="77777777" w:rsidR="001D0C3F" w:rsidRDefault="001D0C3F" w:rsidP="00D240D3">
      <w:pPr>
        <w:spacing w:before="0" w:after="0" w:line="240" w:lineRule="auto"/>
      </w:pPr>
      <w:r>
        <w:separator/>
      </w:r>
    </w:p>
  </w:footnote>
  <w:footnote w:type="continuationSeparator" w:id="0">
    <w:p w14:paraId="54BE2747" w14:textId="77777777" w:rsidR="001D0C3F" w:rsidRDefault="001D0C3F" w:rsidP="00D240D3">
      <w:pPr>
        <w:spacing w:before="0" w:after="0" w:line="240" w:lineRule="auto"/>
      </w:pPr>
      <w:r>
        <w:continuationSeparator/>
      </w:r>
    </w:p>
  </w:footnote>
  <w:footnote w:id="1">
    <w:p w14:paraId="3DDFECB4" w14:textId="55D93B8C" w:rsidR="00D240D3" w:rsidRDefault="00D240D3" w:rsidP="00D240D3">
      <w:pPr>
        <w:pStyle w:val="FootnoteText"/>
      </w:pPr>
      <w:r>
        <w:rPr>
          <w:rStyle w:val="FootnoteReference"/>
        </w:rPr>
        <w:footnoteRef/>
      </w:r>
      <w:r>
        <w:t xml:space="preserve"> </w:t>
      </w:r>
      <w:r w:rsidR="00FA649A" w:rsidRPr="00FA649A">
        <w:rPr>
          <w:lang w:val="sq-AL"/>
        </w:rPr>
        <w:t xml:space="preserve">Komunat Kriva Pallanka, Rankovcë, Përlep, Dollnen, Strugë, Vevçanë, Vallandovë, Dojran, Kavadarë, Negotinë, Sveti Nikollë, Llozovë, Radovish, Konçe, Veles, Gradsko, Demir Kapi, Rosoman, Shtip, Berovë, Vinicë, Dellçevë, Zrnovc, Karbincë, Koçan, Kamenicë, Pehçevë, Probishtip, Çeshinovë Obleshevë, Kërçovë dhe Makedonski Brod, Strumicë, Vasilevë Bosilovë, </w:t>
      </w:r>
      <w:r w:rsidR="00FA649A" w:rsidRPr="00E34415">
        <w:rPr>
          <w:lang w:val="sq-AL"/>
        </w:rPr>
        <w:t>Novo Sello, Gjevgjeli, Bogdanci, Ohër, Manastir dhe Resnjë u financuan në kuadër të Thirrjes së Parë dhe të Dytë</w:t>
      </w:r>
      <w:r w:rsidR="00FA649A" w:rsidRPr="00E34415">
        <w:t xml:space="preserve"> </w:t>
      </w:r>
      <w:r w:rsidR="00FA649A" w:rsidRPr="00E34415">
        <w:rPr>
          <w:lang w:val="sq-AL"/>
        </w:rPr>
        <w:t>dhe nëse aplikojnë si aplikantë kryesorë ose partnerë në projekt, do të diskualifikohen.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D77C" w14:textId="6A8603A1" w:rsidR="00D240D3" w:rsidRDefault="00D240D3">
    <w:pPr>
      <w:pStyle w:val="Header"/>
    </w:pPr>
    <w:r>
      <w:rPr>
        <w:noProof/>
      </w:rPr>
      <w:drawing>
        <wp:inline distT="0" distB="0" distL="0" distR="0" wp14:anchorId="0EEE1A91" wp14:editId="1E20C72E">
          <wp:extent cx="5944235" cy="926465"/>
          <wp:effectExtent l="0" t="0" r="0" b="6985"/>
          <wp:docPr id="765240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876"/>
    <w:multiLevelType w:val="hybridMultilevel"/>
    <w:tmpl w:val="07DE1906"/>
    <w:lvl w:ilvl="0" w:tplc="C9E848E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530621"/>
    <w:multiLevelType w:val="hybridMultilevel"/>
    <w:tmpl w:val="9A7CFCE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3B7D74"/>
    <w:multiLevelType w:val="hybridMultilevel"/>
    <w:tmpl w:val="3BF0C3A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2867EE"/>
    <w:multiLevelType w:val="hybridMultilevel"/>
    <w:tmpl w:val="A148B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973418"/>
    <w:multiLevelType w:val="singleLevel"/>
    <w:tmpl w:val="63AAF112"/>
    <w:lvl w:ilvl="0">
      <w:start w:val="1"/>
      <w:numFmt w:val="decimal"/>
      <w:lvlText w:val="%1. "/>
      <w:lvlJc w:val="left"/>
      <w:pPr>
        <w:tabs>
          <w:tab w:val="num" w:pos="0"/>
        </w:tabs>
        <w:ind w:left="283" w:hanging="283"/>
      </w:pPr>
      <w:rPr>
        <w:rFonts w:ascii="Arial" w:hAnsi="Arial" w:cs="Times New Roman" w:hint="default"/>
        <w:b w:val="0"/>
        <w:i w:val="0"/>
        <w:strike w:val="0"/>
        <w:dstrike w:val="0"/>
        <w:sz w:val="22"/>
        <w:szCs w:val="22"/>
        <w:u w:val="none"/>
        <w:effect w:val="none"/>
      </w:rPr>
    </w:lvl>
  </w:abstractNum>
  <w:abstractNum w:abstractNumId="5" w15:restartNumberingAfterBreak="0">
    <w:nsid w:val="4EC92870"/>
    <w:multiLevelType w:val="hybridMultilevel"/>
    <w:tmpl w:val="31226544"/>
    <w:lvl w:ilvl="0" w:tplc="C9E848E0">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8172E77"/>
    <w:multiLevelType w:val="hybridMultilevel"/>
    <w:tmpl w:val="AF6651A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8989727">
    <w:abstractNumId w:val="0"/>
  </w:num>
  <w:num w:numId="2" w16cid:durableId="451478870">
    <w:abstractNumId w:val="2"/>
  </w:num>
  <w:num w:numId="3" w16cid:durableId="1694916241">
    <w:abstractNumId w:val="6"/>
  </w:num>
  <w:num w:numId="4" w16cid:durableId="608582081">
    <w:abstractNumId w:val="1"/>
  </w:num>
  <w:num w:numId="5" w16cid:durableId="1631672342">
    <w:abstractNumId w:val="5"/>
  </w:num>
  <w:num w:numId="6" w16cid:durableId="1651330166">
    <w:abstractNumId w:val="3"/>
  </w:num>
  <w:num w:numId="7" w16cid:durableId="1281953905">
    <w:abstractNumId w:val="4"/>
    <w:lvlOverride w:ilvl="0">
      <w:startOverride w:val="1"/>
    </w:lvlOverride>
  </w:num>
  <w:num w:numId="8" w16cid:durableId="1196771644">
    <w:abstractNumId w:val="4"/>
    <w:lvlOverride w:ilvl="0">
      <w:lvl w:ilvl="0">
        <w:start w:val="1"/>
        <w:numFmt w:val="decimal"/>
        <w:lvlText w:val="%1."/>
        <w:lvlJc w:val="left"/>
        <w:pPr>
          <w:tabs>
            <w:tab w:val="num" w:pos="360"/>
          </w:tabs>
          <w:ind w:left="360" w:hanging="360"/>
        </w:pPr>
        <w:rPr>
          <w:rFonts w:ascii="Arial" w:hAnsi="Arial" w:cs="Times New Roman" w:hint="default"/>
          <w:b w:val="0"/>
          <w:i w:val="0"/>
          <w:strike w:val="0"/>
          <w:dstrike w:val="0"/>
          <w:sz w:val="22"/>
          <w:szCs w:val="22"/>
          <w:u w:val="none"/>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D3"/>
    <w:rsid w:val="00043C2A"/>
    <w:rsid w:val="00110634"/>
    <w:rsid w:val="001D0C3F"/>
    <w:rsid w:val="0020315C"/>
    <w:rsid w:val="0039649F"/>
    <w:rsid w:val="003F7DDF"/>
    <w:rsid w:val="00522E1C"/>
    <w:rsid w:val="005525DA"/>
    <w:rsid w:val="005E747B"/>
    <w:rsid w:val="007E7E4B"/>
    <w:rsid w:val="00812984"/>
    <w:rsid w:val="0088351D"/>
    <w:rsid w:val="00A1303B"/>
    <w:rsid w:val="00A31456"/>
    <w:rsid w:val="00A50E5C"/>
    <w:rsid w:val="00BC3886"/>
    <w:rsid w:val="00C138A2"/>
    <w:rsid w:val="00C2119D"/>
    <w:rsid w:val="00C83B4D"/>
    <w:rsid w:val="00CF1FF4"/>
    <w:rsid w:val="00D240D3"/>
    <w:rsid w:val="00E34415"/>
    <w:rsid w:val="00E47E5F"/>
    <w:rsid w:val="00E81937"/>
    <w:rsid w:val="00E92BCC"/>
    <w:rsid w:val="00F816A7"/>
    <w:rsid w:val="00FA649A"/>
    <w:rsid w:val="00FD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6E44"/>
  <w15:chartTrackingRefBased/>
  <w15:docId w15:val="{C79A1118-3492-4EA3-A523-3238E91F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49A"/>
  </w:style>
  <w:style w:type="paragraph" w:styleId="Heading1">
    <w:name w:val="heading 1"/>
    <w:basedOn w:val="Normal"/>
    <w:next w:val="Normal"/>
    <w:link w:val="Heading1Char"/>
    <w:uiPriority w:val="9"/>
    <w:qFormat/>
    <w:rsid w:val="00FA649A"/>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A649A"/>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A649A"/>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A649A"/>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A649A"/>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A649A"/>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A649A"/>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A649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A649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49A"/>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FA649A"/>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A649A"/>
    <w:rPr>
      <w:caps/>
      <w:color w:val="0A2F40" w:themeColor="accent1" w:themeShade="7F"/>
      <w:spacing w:val="15"/>
    </w:rPr>
  </w:style>
  <w:style w:type="character" w:customStyle="1" w:styleId="Heading4Char">
    <w:name w:val="Heading 4 Char"/>
    <w:basedOn w:val="DefaultParagraphFont"/>
    <w:link w:val="Heading4"/>
    <w:uiPriority w:val="9"/>
    <w:semiHidden/>
    <w:rsid w:val="00FA649A"/>
    <w:rPr>
      <w:caps/>
      <w:color w:val="0F4761" w:themeColor="accent1" w:themeShade="BF"/>
      <w:spacing w:val="10"/>
    </w:rPr>
  </w:style>
  <w:style w:type="character" w:customStyle="1" w:styleId="Heading5Char">
    <w:name w:val="Heading 5 Char"/>
    <w:basedOn w:val="DefaultParagraphFont"/>
    <w:link w:val="Heading5"/>
    <w:uiPriority w:val="9"/>
    <w:semiHidden/>
    <w:rsid w:val="00FA649A"/>
    <w:rPr>
      <w:caps/>
      <w:color w:val="0F4761" w:themeColor="accent1" w:themeShade="BF"/>
      <w:spacing w:val="10"/>
    </w:rPr>
  </w:style>
  <w:style w:type="character" w:customStyle="1" w:styleId="Heading6Char">
    <w:name w:val="Heading 6 Char"/>
    <w:basedOn w:val="DefaultParagraphFont"/>
    <w:link w:val="Heading6"/>
    <w:uiPriority w:val="9"/>
    <w:semiHidden/>
    <w:rsid w:val="00FA649A"/>
    <w:rPr>
      <w:caps/>
      <w:color w:val="0F4761" w:themeColor="accent1" w:themeShade="BF"/>
      <w:spacing w:val="10"/>
    </w:rPr>
  </w:style>
  <w:style w:type="character" w:customStyle="1" w:styleId="Heading7Char">
    <w:name w:val="Heading 7 Char"/>
    <w:basedOn w:val="DefaultParagraphFont"/>
    <w:link w:val="Heading7"/>
    <w:uiPriority w:val="9"/>
    <w:semiHidden/>
    <w:rsid w:val="00FA649A"/>
    <w:rPr>
      <w:caps/>
      <w:color w:val="0F4761" w:themeColor="accent1" w:themeShade="BF"/>
      <w:spacing w:val="10"/>
    </w:rPr>
  </w:style>
  <w:style w:type="character" w:customStyle="1" w:styleId="Heading8Char">
    <w:name w:val="Heading 8 Char"/>
    <w:basedOn w:val="DefaultParagraphFont"/>
    <w:link w:val="Heading8"/>
    <w:uiPriority w:val="9"/>
    <w:semiHidden/>
    <w:rsid w:val="00FA649A"/>
    <w:rPr>
      <w:caps/>
      <w:spacing w:val="10"/>
      <w:sz w:val="18"/>
      <w:szCs w:val="18"/>
    </w:rPr>
  </w:style>
  <w:style w:type="character" w:customStyle="1" w:styleId="Heading9Char">
    <w:name w:val="Heading 9 Char"/>
    <w:basedOn w:val="DefaultParagraphFont"/>
    <w:link w:val="Heading9"/>
    <w:uiPriority w:val="9"/>
    <w:semiHidden/>
    <w:rsid w:val="00FA649A"/>
    <w:rPr>
      <w:i/>
      <w:iCs/>
      <w:caps/>
      <w:spacing w:val="10"/>
      <w:sz w:val="18"/>
      <w:szCs w:val="18"/>
    </w:rPr>
  </w:style>
  <w:style w:type="paragraph" w:styleId="Title">
    <w:name w:val="Title"/>
    <w:basedOn w:val="Normal"/>
    <w:next w:val="Normal"/>
    <w:link w:val="TitleChar"/>
    <w:uiPriority w:val="10"/>
    <w:qFormat/>
    <w:rsid w:val="00FA649A"/>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A649A"/>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A649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A649A"/>
    <w:rPr>
      <w:caps/>
      <w:color w:val="595959" w:themeColor="text1" w:themeTint="A6"/>
      <w:spacing w:val="10"/>
      <w:sz w:val="21"/>
      <w:szCs w:val="21"/>
    </w:rPr>
  </w:style>
  <w:style w:type="paragraph" w:styleId="Quote">
    <w:name w:val="Quote"/>
    <w:basedOn w:val="Normal"/>
    <w:next w:val="Normal"/>
    <w:link w:val="QuoteChar"/>
    <w:uiPriority w:val="29"/>
    <w:qFormat/>
    <w:rsid w:val="00FA649A"/>
    <w:rPr>
      <w:i/>
      <w:iCs/>
      <w:sz w:val="24"/>
      <w:szCs w:val="24"/>
    </w:rPr>
  </w:style>
  <w:style w:type="character" w:customStyle="1" w:styleId="QuoteChar">
    <w:name w:val="Quote Char"/>
    <w:basedOn w:val="DefaultParagraphFont"/>
    <w:link w:val="Quote"/>
    <w:uiPriority w:val="29"/>
    <w:rsid w:val="00FA649A"/>
    <w:rPr>
      <w:i/>
      <w:iCs/>
      <w:sz w:val="24"/>
      <w:szCs w:val="24"/>
    </w:rPr>
  </w:style>
  <w:style w:type="paragraph" w:styleId="ListParagraph">
    <w:name w:val="List Paragraph"/>
    <w:basedOn w:val="Normal"/>
    <w:uiPriority w:val="34"/>
    <w:qFormat/>
    <w:rsid w:val="00D240D3"/>
    <w:pPr>
      <w:ind w:left="720"/>
      <w:contextualSpacing/>
    </w:pPr>
  </w:style>
  <w:style w:type="character" w:styleId="IntenseEmphasis">
    <w:name w:val="Intense Emphasis"/>
    <w:uiPriority w:val="21"/>
    <w:qFormat/>
    <w:rsid w:val="00FA649A"/>
    <w:rPr>
      <w:b/>
      <w:bCs/>
      <w:caps/>
      <w:color w:val="0A2F40" w:themeColor="accent1" w:themeShade="7F"/>
      <w:spacing w:val="10"/>
    </w:rPr>
  </w:style>
  <w:style w:type="paragraph" w:styleId="IntenseQuote">
    <w:name w:val="Intense Quote"/>
    <w:basedOn w:val="Normal"/>
    <w:next w:val="Normal"/>
    <w:link w:val="IntenseQuoteChar"/>
    <w:uiPriority w:val="30"/>
    <w:qFormat/>
    <w:rsid w:val="00FA649A"/>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A649A"/>
    <w:rPr>
      <w:color w:val="156082" w:themeColor="accent1"/>
      <w:sz w:val="24"/>
      <w:szCs w:val="24"/>
    </w:rPr>
  </w:style>
  <w:style w:type="character" w:styleId="IntenseReference">
    <w:name w:val="Intense Reference"/>
    <w:uiPriority w:val="32"/>
    <w:qFormat/>
    <w:rsid w:val="00FA649A"/>
    <w:rPr>
      <w:b/>
      <w:bCs/>
      <w:i/>
      <w:iCs/>
      <w:caps/>
      <w:color w:val="156082" w:themeColor="accent1"/>
    </w:rPr>
  </w:style>
  <w:style w:type="table" w:styleId="TableGrid">
    <w:name w:val="Table Grid"/>
    <w:basedOn w:val="TableNormal"/>
    <w:uiPriority w:val="39"/>
    <w:rsid w:val="00D24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40D3"/>
    <w:pPr>
      <w:spacing w:after="0" w:line="240" w:lineRule="auto"/>
    </w:pPr>
    <w:rPr>
      <w:rFonts w:ascii="Times New Roman" w:eastAsia="Times New Roman" w:hAnsi="Times New Roman" w:cs="Times New Roman"/>
      <w:lang w:val="mk-MK"/>
    </w:rPr>
  </w:style>
  <w:style w:type="character" w:customStyle="1" w:styleId="FootnoteTextChar">
    <w:name w:val="Footnote Text Char"/>
    <w:basedOn w:val="DefaultParagraphFont"/>
    <w:link w:val="FootnoteText"/>
    <w:uiPriority w:val="99"/>
    <w:semiHidden/>
    <w:rsid w:val="00D240D3"/>
    <w:rPr>
      <w:rFonts w:ascii="Times New Roman" w:eastAsia="Times New Roman" w:hAnsi="Times New Roman" w:cs="Times New Roman"/>
      <w:kern w:val="0"/>
      <w:sz w:val="20"/>
      <w:szCs w:val="20"/>
      <w:lang w:val="mk-MK"/>
      <w14:ligatures w14:val="none"/>
    </w:rPr>
  </w:style>
  <w:style w:type="character" w:styleId="FootnoteReference">
    <w:name w:val="footnote reference"/>
    <w:basedOn w:val="DefaultParagraphFont"/>
    <w:uiPriority w:val="99"/>
    <w:semiHidden/>
    <w:unhideWhenUsed/>
    <w:rsid w:val="00D240D3"/>
    <w:rPr>
      <w:vertAlign w:val="superscript"/>
    </w:rPr>
  </w:style>
  <w:style w:type="character" w:styleId="Hyperlink">
    <w:name w:val="Hyperlink"/>
    <w:basedOn w:val="DefaultParagraphFont"/>
    <w:uiPriority w:val="99"/>
    <w:unhideWhenUsed/>
    <w:rsid w:val="00D240D3"/>
    <w:rPr>
      <w:color w:val="467886" w:themeColor="hyperlink"/>
      <w:u w:val="single"/>
    </w:rPr>
  </w:style>
  <w:style w:type="character" w:styleId="UnresolvedMention">
    <w:name w:val="Unresolved Mention"/>
    <w:basedOn w:val="DefaultParagraphFont"/>
    <w:uiPriority w:val="99"/>
    <w:semiHidden/>
    <w:unhideWhenUsed/>
    <w:rsid w:val="00D240D3"/>
    <w:rPr>
      <w:color w:val="605E5C"/>
      <w:shd w:val="clear" w:color="auto" w:fill="E1DFDD"/>
    </w:rPr>
  </w:style>
  <w:style w:type="paragraph" w:styleId="Header">
    <w:name w:val="header"/>
    <w:basedOn w:val="Normal"/>
    <w:link w:val="HeaderChar"/>
    <w:uiPriority w:val="99"/>
    <w:unhideWhenUsed/>
    <w:rsid w:val="00D24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0D3"/>
  </w:style>
  <w:style w:type="paragraph" w:styleId="Footer">
    <w:name w:val="footer"/>
    <w:basedOn w:val="Normal"/>
    <w:link w:val="FooterChar"/>
    <w:uiPriority w:val="99"/>
    <w:unhideWhenUsed/>
    <w:rsid w:val="00D24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0D3"/>
  </w:style>
  <w:style w:type="paragraph" w:styleId="Caption">
    <w:name w:val="caption"/>
    <w:basedOn w:val="Normal"/>
    <w:next w:val="Normal"/>
    <w:uiPriority w:val="35"/>
    <w:semiHidden/>
    <w:unhideWhenUsed/>
    <w:qFormat/>
    <w:rsid w:val="00FA649A"/>
    <w:rPr>
      <w:b/>
      <w:bCs/>
      <w:color w:val="0F4761" w:themeColor="accent1" w:themeShade="BF"/>
      <w:sz w:val="16"/>
      <w:szCs w:val="16"/>
    </w:rPr>
  </w:style>
  <w:style w:type="character" w:styleId="Strong">
    <w:name w:val="Strong"/>
    <w:uiPriority w:val="22"/>
    <w:qFormat/>
    <w:rsid w:val="00FA649A"/>
    <w:rPr>
      <w:b/>
      <w:bCs/>
    </w:rPr>
  </w:style>
  <w:style w:type="character" w:styleId="Emphasis">
    <w:name w:val="Emphasis"/>
    <w:uiPriority w:val="20"/>
    <w:qFormat/>
    <w:rsid w:val="00FA649A"/>
    <w:rPr>
      <w:caps/>
      <w:color w:val="0A2F40" w:themeColor="accent1" w:themeShade="7F"/>
      <w:spacing w:val="5"/>
    </w:rPr>
  </w:style>
  <w:style w:type="paragraph" w:styleId="NoSpacing">
    <w:name w:val="No Spacing"/>
    <w:uiPriority w:val="1"/>
    <w:qFormat/>
    <w:rsid w:val="00FA649A"/>
    <w:pPr>
      <w:spacing w:after="0" w:line="240" w:lineRule="auto"/>
    </w:pPr>
  </w:style>
  <w:style w:type="character" w:styleId="SubtleEmphasis">
    <w:name w:val="Subtle Emphasis"/>
    <w:uiPriority w:val="19"/>
    <w:qFormat/>
    <w:rsid w:val="00FA649A"/>
    <w:rPr>
      <w:i/>
      <w:iCs/>
      <w:color w:val="0A2F40" w:themeColor="accent1" w:themeShade="7F"/>
    </w:rPr>
  </w:style>
  <w:style w:type="character" w:styleId="SubtleReference">
    <w:name w:val="Subtle Reference"/>
    <w:uiPriority w:val="31"/>
    <w:qFormat/>
    <w:rsid w:val="00FA649A"/>
    <w:rPr>
      <w:b/>
      <w:bCs/>
      <w:color w:val="156082" w:themeColor="accent1"/>
    </w:rPr>
  </w:style>
  <w:style w:type="character" w:styleId="BookTitle">
    <w:name w:val="Book Title"/>
    <w:uiPriority w:val="33"/>
    <w:qFormat/>
    <w:rsid w:val="00FA649A"/>
    <w:rPr>
      <w:b/>
      <w:bCs/>
      <w:i/>
      <w:iCs/>
      <w:spacing w:val="0"/>
    </w:rPr>
  </w:style>
  <w:style w:type="paragraph" w:styleId="TOCHeading">
    <w:name w:val="TOC Heading"/>
    <w:basedOn w:val="Heading1"/>
    <w:next w:val="Normal"/>
    <w:uiPriority w:val="39"/>
    <w:semiHidden/>
    <w:unhideWhenUsed/>
    <w:qFormat/>
    <w:rsid w:val="00FA649A"/>
    <w:pPr>
      <w:outlineLvl w:val="9"/>
    </w:pPr>
  </w:style>
  <w:style w:type="paragraph" w:styleId="TOC2">
    <w:name w:val="toc 2"/>
    <w:basedOn w:val="Normal"/>
    <w:next w:val="Normal"/>
    <w:autoRedefine/>
    <w:uiPriority w:val="39"/>
    <w:unhideWhenUsed/>
    <w:rsid w:val="00BC388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jan.kelemen@und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5450</Words>
  <Characters>31068</Characters>
  <Application>Microsoft Office Word</Application>
  <DocSecurity>0</DocSecurity>
  <Lines>258</Lines>
  <Paragraphs>72</Paragraphs>
  <ScaleCrop>false</ScaleCrop>
  <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Kelemen</dc:creator>
  <cp:keywords/>
  <dc:description/>
  <cp:lastModifiedBy>Marjan Kelemen</cp:lastModifiedBy>
  <cp:revision>17</cp:revision>
  <dcterms:created xsi:type="dcterms:W3CDTF">2026-05-04T08:38:00Z</dcterms:created>
  <dcterms:modified xsi:type="dcterms:W3CDTF">2026-05-13T17:28:00Z</dcterms:modified>
</cp:coreProperties>
</file>